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DD76" w14:textId="77777777" w:rsidR="009416E9" w:rsidRPr="0049257E" w:rsidRDefault="009416E9" w:rsidP="00100F61">
      <w:pPr>
        <w:pStyle w:val="Heading1"/>
        <w:spacing w:before="0" w:after="120" w:line="240" w:lineRule="auto"/>
        <w:ind w:left="-360"/>
        <w:rPr>
          <w:sz w:val="28"/>
        </w:rPr>
      </w:pPr>
      <w:bookmarkStart w:id="0" w:name="_GoBack"/>
      <w:r w:rsidRPr="0049257E">
        <w:rPr>
          <w:sz w:val="28"/>
        </w:rPr>
        <w:t>Entering an empty lab without wearing protective glasses</w:t>
      </w:r>
    </w:p>
    <w:bookmarkEnd w:id="0"/>
    <w:p w14:paraId="6819E5EB" w14:textId="2353B6E2" w:rsidR="00B2247A" w:rsidRDefault="00B2247A" w:rsidP="00041F46">
      <w:pPr>
        <w:ind w:left="-360"/>
      </w:pPr>
      <w:r w:rsidRPr="00697CAF">
        <w:t>Table 10-5</w:t>
      </w:r>
    </w:p>
    <w:p w14:paraId="188F5770" w14:textId="77777777" w:rsidR="00041F46" w:rsidRPr="001D7C8C" w:rsidRDefault="00041F46" w:rsidP="00041F46">
      <w:pPr>
        <w:ind w:left="-360"/>
        <w:rPr>
          <w:vertAlign w:val="superscript"/>
        </w:rPr>
      </w:pPr>
      <w:r w:rsidRPr="001D7C8C">
        <w:t xml:space="preserve">The first involves entering a lab which is empty. Hill and </w:t>
      </w:r>
      <w:proofErr w:type="spellStart"/>
      <w:r w:rsidRPr="001D7C8C">
        <w:t>Finster</w:t>
      </w:r>
      <w:proofErr w:type="spellEnd"/>
      <w:r w:rsidRPr="001D7C8C">
        <w:t xml:space="preserve"> report instances of explosions from over-pressurized containers which may be delayed.</w:t>
      </w:r>
      <w:r w:rsidRPr="001D7C8C">
        <w:rPr>
          <w:vertAlign w:val="superscript"/>
        </w:rPr>
        <w:t>18</w:t>
      </w:r>
    </w:p>
    <w:p w14:paraId="4B900A67" w14:textId="4A0976A8" w:rsidR="00697CAF" w:rsidRPr="00697CAF" w:rsidRDefault="00041F46" w:rsidP="00B2247A">
      <w:pPr>
        <w:ind w:left="-360"/>
      </w:pPr>
      <w:r w:rsidRPr="001D7C8C">
        <w:t>This example illustrates the value of a lessons learned database. Once people understand explosions can occur in empty labs, they are more likely to choose the right course of action regarding the use of protective equipment.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Entering an empty lab without wearing protective glasses "/>
        <w:tblDescription w:val="Table 10-5. What if Analysis. This example illustrates the value of a lessons learned database. Once people understand explosions can occur in empty labs, they are more likely to choose the right course of action regarding the use of protective equipment. &#10;"/>
      </w:tblPr>
      <w:tblGrid>
        <w:gridCol w:w="1800"/>
        <w:gridCol w:w="1080"/>
        <w:gridCol w:w="720"/>
        <w:gridCol w:w="1710"/>
        <w:gridCol w:w="1741"/>
        <w:gridCol w:w="3029"/>
      </w:tblGrid>
      <w:tr w:rsidR="0040367F" w:rsidRPr="00F177F5" w14:paraId="6AC97007" w14:textId="77777777" w:rsidTr="00041F46">
        <w:trPr>
          <w:tblHeader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764F2657" w14:textId="77777777" w:rsidR="0040367F" w:rsidRPr="00F177F5" w:rsidRDefault="0040367F" w:rsidP="006C4C49">
            <w:pPr>
              <w:spacing w:after="0"/>
              <w:rPr>
                <w:rFonts w:ascii="Cambria" w:eastAsia="Times New Roman" w:hAnsi="Cambria"/>
                <w:b/>
                <w:szCs w:val="20"/>
              </w:rPr>
            </w:pPr>
            <w:r w:rsidRPr="00F177F5">
              <w:rPr>
                <w:rFonts w:ascii="Cambria" w:eastAsia="Times New Roman" w:hAnsi="Cambria"/>
                <w:b/>
                <w:szCs w:val="20"/>
              </w:rPr>
              <w:t>Division:</w:t>
            </w:r>
          </w:p>
          <w:p w14:paraId="557ED722" w14:textId="77777777" w:rsidR="0040367F" w:rsidRPr="00F177F5" w:rsidRDefault="0040367F" w:rsidP="006C4C49">
            <w:pPr>
              <w:spacing w:after="0"/>
              <w:rPr>
                <w:rFonts w:ascii="Cambria" w:eastAsia="Times New Roman" w:hAnsi="Cambria"/>
                <w:b/>
                <w:szCs w:val="20"/>
              </w:rPr>
            </w:pPr>
            <w:r w:rsidRPr="00F177F5">
              <w:rPr>
                <w:rFonts w:ascii="Cambria" w:eastAsia="Times New Roman" w:hAnsi="Cambria"/>
                <w:b/>
                <w:szCs w:val="20"/>
              </w:rPr>
              <w:t>Chemistry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7E10132E" w14:textId="77777777" w:rsidR="0040367F" w:rsidRPr="00F177F5" w:rsidRDefault="0040367F" w:rsidP="006C4C49">
            <w:pPr>
              <w:spacing w:after="0"/>
              <w:rPr>
                <w:rFonts w:ascii="Cambria" w:eastAsia="Times New Roman" w:hAnsi="Cambria"/>
                <w:b/>
                <w:szCs w:val="20"/>
              </w:rPr>
            </w:pPr>
            <w:r w:rsidRPr="00F177F5">
              <w:rPr>
                <w:rFonts w:ascii="Cambria" w:eastAsia="Times New Roman" w:hAnsi="Cambria"/>
                <w:b/>
                <w:szCs w:val="20"/>
              </w:rPr>
              <w:t>Description of Operation:</w:t>
            </w:r>
          </w:p>
          <w:p w14:paraId="49BCD820" w14:textId="77777777" w:rsidR="0040367F" w:rsidRPr="00F177F5" w:rsidRDefault="0040367F" w:rsidP="006C4C49">
            <w:pPr>
              <w:spacing w:after="0"/>
              <w:rPr>
                <w:rFonts w:ascii="Cambria" w:eastAsia="Times New Roman" w:hAnsi="Cambria"/>
                <w:b/>
                <w:szCs w:val="20"/>
              </w:rPr>
            </w:pPr>
            <w:r w:rsidRPr="00F177F5">
              <w:rPr>
                <w:rFonts w:ascii="Cambria" w:eastAsia="Times New Roman" w:hAnsi="Cambria"/>
                <w:b/>
                <w:szCs w:val="20"/>
              </w:rPr>
              <w:t>Entering empty laboratory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6CBC2CBF" w14:textId="77777777" w:rsidR="0040367F" w:rsidRPr="00F177F5" w:rsidRDefault="0040367F" w:rsidP="006C4C49">
            <w:pPr>
              <w:tabs>
                <w:tab w:val="left" w:pos="1776"/>
              </w:tabs>
              <w:spacing w:after="0"/>
              <w:rPr>
                <w:rFonts w:ascii="Cambria" w:eastAsia="Times New Roman" w:hAnsi="Cambria"/>
                <w:b/>
                <w:szCs w:val="20"/>
              </w:rPr>
            </w:pPr>
            <w:r w:rsidRPr="00F177F5">
              <w:rPr>
                <w:rFonts w:ascii="Cambria" w:eastAsia="Times New Roman" w:hAnsi="Cambria"/>
                <w:b/>
                <w:szCs w:val="20"/>
              </w:rPr>
              <w:t>By:</w:t>
            </w:r>
          </w:p>
          <w:p w14:paraId="0A0D9586" w14:textId="77777777" w:rsidR="0040367F" w:rsidRPr="00F177F5" w:rsidRDefault="0040367F" w:rsidP="006C4C49">
            <w:pPr>
              <w:tabs>
                <w:tab w:val="left" w:pos="1776"/>
              </w:tabs>
              <w:spacing w:after="0"/>
              <w:ind w:left="41" w:hanging="41"/>
              <w:rPr>
                <w:rFonts w:ascii="Cambria" w:eastAsia="Times New Roman" w:hAnsi="Cambria"/>
                <w:b/>
                <w:szCs w:val="20"/>
              </w:rPr>
            </w:pPr>
            <w:r w:rsidRPr="00F177F5">
              <w:rPr>
                <w:rFonts w:ascii="Cambria" w:eastAsia="Times New Roman" w:hAnsi="Cambria"/>
                <w:b/>
                <w:szCs w:val="20"/>
              </w:rPr>
              <w:t>Date:</w:t>
            </w:r>
          </w:p>
          <w:p w14:paraId="462DEC27" w14:textId="77777777" w:rsidR="0040367F" w:rsidRPr="00F177F5" w:rsidRDefault="0040367F" w:rsidP="006C4C49">
            <w:pPr>
              <w:tabs>
                <w:tab w:val="left" w:pos="1776"/>
              </w:tabs>
              <w:spacing w:after="0"/>
              <w:rPr>
                <w:rFonts w:ascii="Cambria" w:eastAsia="Times New Roman" w:hAnsi="Cambria"/>
                <w:b/>
                <w:szCs w:val="20"/>
              </w:rPr>
            </w:pPr>
          </w:p>
        </w:tc>
      </w:tr>
      <w:tr w:rsidR="0040367F" w:rsidRPr="00F177F5" w14:paraId="4B7C1124" w14:textId="77777777" w:rsidTr="00041F46">
        <w:trPr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4CDBB0E8" w14:textId="77777777" w:rsidR="0040367F" w:rsidRPr="00F177F5" w:rsidRDefault="0040367F" w:rsidP="006C4C49">
            <w:pPr>
              <w:spacing w:after="0"/>
              <w:rPr>
                <w:rFonts w:ascii="Cambria" w:eastAsia="Times New Roman" w:hAnsi="Cambria"/>
                <w:b/>
                <w:szCs w:val="20"/>
              </w:rPr>
            </w:pPr>
            <w:r w:rsidRPr="00F177F5">
              <w:rPr>
                <w:rFonts w:ascii="Cambria" w:eastAsia="Times New Roman" w:hAnsi="Cambria"/>
                <w:b/>
                <w:szCs w:val="20"/>
              </w:rPr>
              <w:t>What if?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231E9192" w14:textId="77777777" w:rsidR="0040367F" w:rsidRPr="00F177F5" w:rsidRDefault="0040367F" w:rsidP="006C4C49">
            <w:pPr>
              <w:spacing w:after="0"/>
              <w:rPr>
                <w:rFonts w:ascii="Cambria" w:eastAsia="Times New Roman" w:hAnsi="Cambria"/>
                <w:b/>
                <w:szCs w:val="20"/>
              </w:rPr>
            </w:pPr>
            <w:r w:rsidRPr="00F177F5">
              <w:rPr>
                <w:rFonts w:ascii="Cambria" w:eastAsia="Times New Roman" w:hAnsi="Cambria"/>
                <w:b/>
                <w:szCs w:val="20"/>
              </w:rPr>
              <w:t>Answer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66C346FC" w14:textId="77777777" w:rsidR="0040367F" w:rsidRPr="00F177F5" w:rsidRDefault="0040367F" w:rsidP="006C4C49">
            <w:pPr>
              <w:spacing w:after="0"/>
              <w:rPr>
                <w:rFonts w:ascii="Cambria" w:eastAsia="Times New Roman" w:hAnsi="Cambria"/>
                <w:b/>
                <w:szCs w:val="20"/>
              </w:rPr>
            </w:pPr>
            <w:r w:rsidRPr="00F177F5">
              <w:rPr>
                <w:rFonts w:ascii="Cambria" w:eastAsia="Times New Roman" w:hAnsi="Cambria"/>
                <w:b/>
                <w:szCs w:val="20"/>
              </w:rPr>
              <w:t>Probability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6C870D2F" w14:textId="77777777" w:rsidR="0040367F" w:rsidRPr="00F177F5" w:rsidRDefault="0040367F" w:rsidP="006C4C49">
            <w:pPr>
              <w:spacing w:after="0"/>
              <w:rPr>
                <w:rFonts w:ascii="Cambria" w:eastAsia="Times New Roman" w:hAnsi="Cambria"/>
                <w:b/>
                <w:szCs w:val="20"/>
              </w:rPr>
            </w:pPr>
            <w:r w:rsidRPr="00F177F5">
              <w:rPr>
                <w:rFonts w:ascii="Cambria" w:eastAsia="Times New Roman" w:hAnsi="Cambria"/>
                <w:b/>
                <w:szCs w:val="20"/>
              </w:rPr>
              <w:t>Consequences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1411A389" w14:textId="77777777" w:rsidR="0040367F" w:rsidRPr="00F177F5" w:rsidRDefault="0040367F" w:rsidP="006C4C49">
            <w:pPr>
              <w:spacing w:after="0"/>
              <w:rPr>
                <w:rFonts w:ascii="Cambria" w:eastAsia="Times New Roman" w:hAnsi="Cambria"/>
                <w:b/>
                <w:szCs w:val="20"/>
              </w:rPr>
            </w:pPr>
            <w:r w:rsidRPr="00F177F5">
              <w:rPr>
                <w:rFonts w:ascii="Cambria" w:eastAsia="Times New Roman" w:hAnsi="Cambria"/>
                <w:b/>
                <w:szCs w:val="20"/>
              </w:rPr>
              <w:t>Recommendations</w:t>
            </w:r>
          </w:p>
          <w:p w14:paraId="03BB8222" w14:textId="77777777" w:rsidR="0040367F" w:rsidRPr="00F177F5" w:rsidRDefault="0040367F" w:rsidP="006C4C49">
            <w:pPr>
              <w:spacing w:after="0"/>
              <w:rPr>
                <w:rFonts w:ascii="Cambria" w:eastAsia="Times New Roman" w:hAnsi="Cambria"/>
                <w:b/>
                <w:szCs w:val="20"/>
              </w:rPr>
            </w:pPr>
          </w:p>
        </w:tc>
      </w:tr>
      <w:tr w:rsidR="0040367F" w:rsidRPr="00F177F5" w14:paraId="600D3145" w14:textId="77777777" w:rsidTr="00041F46">
        <w:trPr>
          <w:trHeight w:val="16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1AA7428" w14:textId="77777777" w:rsidR="0040367F" w:rsidRPr="001D7C8C" w:rsidRDefault="0040367F" w:rsidP="006C4C49">
            <w:pPr>
              <w:spacing w:after="0" w:line="240" w:lineRule="auto"/>
              <w:rPr>
                <w:rFonts w:ascii="Cambria" w:eastAsia="Times New Roman" w:hAnsi="Cambria"/>
                <w:b/>
                <w:szCs w:val="20"/>
              </w:rPr>
            </w:pPr>
            <w:r w:rsidRPr="001D7C8C">
              <w:rPr>
                <w:rFonts w:ascii="Cambria" w:eastAsia="Times New Roman" w:hAnsi="Cambria"/>
                <w:szCs w:val="20"/>
              </w:rPr>
              <w:t>Enter empty laboratory without wearing protective glasses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19D1" w14:textId="77777777" w:rsidR="0040367F" w:rsidRPr="001D7C8C" w:rsidRDefault="0040367F" w:rsidP="006C4C49">
            <w:pPr>
              <w:spacing w:after="0" w:line="240" w:lineRule="auto"/>
              <w:rPr>
                <w:rFonts w:ascii="Cambria" w:eastAsia="Times New Roman" w:hAnsi="Cambria"/>
                <w:b/>
                <w:szCs w:val="20"/>
              </w:rPr>
            </w:pPr>
            <w:r w:rsidRPr="001D7C8C">
              <w:rPr>
                <w:rFonts w:ascii="Cambria" w:eastAsia="Times New Roman" w:hAnsi="Cambria"/>
                <w:szCs w:val="20"/>
              </w:rPr>
              <w:t>Explosion possible in empty lab from delayed failure of over-pressurized containers or equipment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475B" w14:textId="77777777" w:rsidR="0040367F" w:rsidRPr="001D7C8C" w:rsidRDefault="0040367F" w:rsidP="006C4C49">
            <w:pPr>
              <w:spacing w:after="0" w:line="240" w:lineRule="auto"/>
              <w:rPr>
                <w:rFonts w:ascii="Cambria" w:eastAsia="Times New Roman" w:hAnsi="Cambria"/>
                <w:b/>
                <w:szCs w:val="20"/>
              </w:rPr>
            </w:pPr>
            <w:r w:rsidRPr="001D7C8C">
              <w:rPr>
                <w:rFonts w:ascii="Cambria" w:eastAsia="Times New Roman" w:hAnsi="Cambria"/>
                <w:szCs w:val="20"/>
              </w:rPr>
              <w:t>Low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657F" w14:textId="77777777" w:rsidR="0040367F" w:rsidRPr="001D7C8C" w:rsidRDefault="0040367F" w:rsidP="006C4C49">
            <w:pPr>
              <w:spacing w:after="0" w:line="240" w:lineRule="auto"/>
              <w:rPr>
                <w:rFonts w:ascii="Cambria" w:eastAsia="Times New Roman" w:hAnsi="Cambria"/>
                <w:b/>
                <w:szCs w:val="20"/>
              </w:rPr>
            </w:pPr>
            <w:r w:rsidRPr="001D7C8C">
              <w:rPr>
                <w:rFonts w:ascii="Cambria" w:eastAsia="Times New Roman" w:hAnsi="Cambria"/>
                <w:szCs w:val="20"/>
              </w:rPr>
              <w:t>Extreme severity if explosion while lab is entered and protective equipment not used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8124" w14:textId="77777777" w:rsidR="0040367F" w:rsidRPr="001D7C8C" w:rsidRDefault="0040367F" w:rsidP="006C4C49">
            <w:pPr>
              <w:spacing w:after="0" w:line="240" w:lineRule="auto"/>
              <w:rPr>
                <w:rFonts w:ascii="Cambria" w:eastAsia="Times New Roman" w:hAnsi="Cambria"/>
                <w:b/>
                <w:szCs w:val="20"/>
              </w:rPr>
            </w:pPr>
            <w:r w:rsidRPr="001D7C8C">
              <w:rPr>
                <w:rFonts w:ascii="Cambria" w:eastAsia="Times New Roman" w:hAnsi="Cambria"/>
                <w:szCs w:val="20"/>
              </w:rPr>
              <w:t>Always wear eye protection when entering a lab, even when void of apparent work in progress</w:t>
            </w:r>
          </w:p>
        </w:tc>
      </w:tr>
    </w:tbl>
    <w:p w14:paraId="2EDA1EBB" w14:textId="77777777" w:rsidR="0068065F" w:rsidRDefault="0068065F" w:rsidP="004D3188">
      <w:pPr>
        <w:tabs>
          <w:tab w:val="left" w:pos="3840"/>
        </w:tabs>
      </w:pPr>
    </w:p>
    <w:p w14:paraId="3D376764" w14:textId="77777777" w:rsidR="009416E9" w:rsidRPr="009416E9" w:rsidRDefault="009416E9" w:rsidP="009416E9">
      <w:pPr>
        <w:ind w:left="-360"/>
        <w:rPr>
          <w:rFonts w:ascii="Cambria" w:hAnsi="Cambria"/>
          <w:color w:val="595959"/>
          <w:sz w:val="20"/>
        </w:rPr>
      </w:pPr>
      <w:r w:rsidRPr="009416E9">
        <w:rPr>
          <w:rFonts w:ascii="Cambria" w:hAnsi="Cambria"/>
          <w:color w:val="595959"/>
          <w:sz w:val="20"/>
        </w:rPr>
        <w:t>This file is excerpted from “Identifying and Evaluating Hazards in Research Laboratories: Guidelines developed by the Hazard Identification and Evaluation Task Force of the American Chemical Society’s Committee on Chemical Safety”.</w:t>
      </w:r>
    </w:p>
    <w:p w14:paraId="118636D5" w14:textId="77777777" w:rsidR="009416E9" w:rsidRPr="009416E9" w:rsidRDefault="009416E9" w:rsidP="009416E9">
      <w:pPr>
        <w:ind w:left="-360"/>
        <w:rPr>
          <w:rFonts w:ascii="Cambria" w:hAnsi="Cambria"/>
          <w:color w:val="595959"/>
          <w:sz w:val="20"/>
        </w:rPr>
      </w:pPr>
      <w:r w:rsidRPr="009416E9">
        <w:rPr>
          <w:rFonts w:ascii="Cambria" w:hAnsi="Cambria"/>
          <w:color w:val="595959"/>
          <w:sz w:val="20"/>
        </w:rPr>
        <w:t>© Copyright 2015 American Chemical Society</w:t>
      </w:r>
    </w:p>
    <w:p w14:paraId="41AAE9D9" w14:textId="098A7015" w:rsidR="00011A7F" w:rsidRPr="005F10DE" w:rsidRDefault="00011A7F" w:rsidP="00697CAF">
      <w:pPr>
        <w:ind w:left="-360"/>
        <w:rPr>
          <w:color w:val="595959" w:themeColor="text1" w:themeTint="A6"/>
        </w:rPr>
      </w:pPr>
    </w:p>
    <w:sectPr w:rsidR="00011A7F" w:rsidRPr="005F10DE" w:rsidSect="006E23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9DB8F" w14:textId="77777777" w:rsidR="00FB14D1" w:rsidRDefault="00FB14D1" w:rsidP="00136352">
      <w:pPr>
        <w:spacing w:after="0" w:line="240" w:lineRule="auto"/>
      </w:pPr>
      <w:r>
        <w:separator/>
      </w:r>
    </w:p>
  </w:endnote>
  <w:endnote w:type="continuationSeparator" w:id="0">
    <w:p w14:paraId="4F96567E" w14:textId="77777777" w:rsidR="00FB14D1" w:rsidRDefault="00FB14D1" w:rsidP="0013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D2C46" w14:textId="77777777" w:rsidR="007C54F7" w:rsidRDefault="007C54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4C903" w14:textId="77777777" w:rsidR="007C54F7" w:rsidRDefault="007C54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C98C9" w14:textId="77777777" w:rsidR="007C54F7" w:rsidRDefault="007C5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2FDB5" w14:textId="77777777" w:rsidR="00FB14D1" w:rsidRDefault="00FB14D1" w:rsidP="00136352">
      <w:pPr>
        <w:spacing w:after="0" w:line="240" w:lineRule="auto"/>
      </w:pPr>
      <w:r>
        <w:separator/>
      </w:r>
    </w:p>
  </w:footnote>
  <w:footnote w:type="continuationSeparator" w:id="0">
    <w:p w14:paraId="53B28F9A" w14:textId="77777777" w:rsidR="00FB14D1" w:rsidRDefault="00FB14D1" w:rsidP="0013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EF538" w14:textId="77777777" w:rsidR="007C54F7" w:rsidRDefault="007C54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0C1D1" w14:textId="77777777" w:rsidR="007C54F7" w:rsidRDefault="007C54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40E91" w14:textId="77777777" w:rsidR="007C54F7" w:rsidRDefault="007C54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0359F"/>
    <w:multiLevelType w:val="hybridMultilevel"/>
    <w:tmpl w:val="80B0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EE"/>
    <w:rsid w:val="00011A7F"/>
    <w:rsid w:val="00041F46"/>
    <w:rsid w:val="00045105"/>
    <w:rsid w:val="000E17EE"/>
    <w:rsid w:val="000E2B5D"/>
    <w:rsid w:val="000F0148"/>
    <w:rsid w:val="000F1E04"/>
    <w:rsid w:val="000F217F"/>
    <w:rsid w:val="00100F61"/>
    <w:rsid w:val="00136352"/>
    <w:rsid w:val="00165FAA"/>
    <w:rsid w:val="001913EB"/>
    <w:rsid w:val="001B2B82"/>
    <w:rsid w:val="001D7C8C"/>
    <w:rsid w:val="00206DAF"/>
    <w:rsid w:val="00210E7D"/>
    <w:rsid w:val="0029795B"/>
    <w:rsid w:val="002B4105"/>
    <w:rsid w:val="002E2FE0"/>
    <w:rsid w:val="00344B64"/>
    <w:rsid w:val="003A2D32"/>
    <w:rsid w:val="0040367F"/>
    <w:rsid w:val="0042370D"/>
    <w:rsid w:val="00451F62"/>
    <w:rsid w:val="0049257E"/>
    <w:rsid w:val="004A3202"/>
    <w:rsid w:val="004C230B"/>
    <w:rsid w:val="004D3188"/>
    <w:rsid w:val="00535E3E"/>
    <w:rsid w:val="00535FDC"/>
    <w:rsid w:val="00561B0D"/>
    <w:rsid w:val="00591DD9"/>
    <w:rsid w:val="005A3512"/>
    <w:rsid w:val="005F10DE"/>
    <w:rsid w:val="00626BA4"/>
    <w:rsid w:val="0068065F"/>
    <w:rsid w:val="00697CAF"/>
    <w:rsid w:val="006E2315"/>
    <w:rsid w:val="006E3E93"/>
    <w:rsid w:val="00756881"/>
    <w:rsid w:val="0079718D"/>
    <w:rsid w:val="007A0D7C"/>
    <w:rsid w:val="007C54F7"/>
    <w:rsid w:val="007D705D"/>
    <w:rsid w:val="007F21FF"/>
    <w:rsid w:val="00813B0F"/>
    <w:rsid w:val="008731E8"/>
    <w:rsid w:val="008B098F"/>
    <w:rsid w:val="009416E9"/>
    <w:rsid w:val="009544B1"/>
    <w:rsid w:val="009A7B9C"/>
    <w:rsid w:val="009E40CA"/>
    <w:rsid w:val="00A41628"/>
    <w:rsid w:val="00A946C1"/>
    <w:rsid w:val="00AD094B"/>
    <w:rsid w:val="00B2247A"/>
    <w:rsid w:val="00B87F6B"/>
    <w:rsid w:val="00BE5BB3"/>
    <w:rsid w:val="00C37492"/>
    <w:rsid w:val="00CD4AF2"/>
    <w:rsid w:val="00D10A1E"/>
    <w:rsid w:val="00DD45E4"/>
    <w:rsid w:val="00E902E4"/>
    <w:rsid w:val="00E95E8E"/>
    <w:rsid w:val="00ED549B"/>
    <w:rsid w:val="00ED5CE7"/>
    <w:rsid w:val="00EE55B0"/>
    <w:rsid w:val="00F01E35"/>
    <w:rsid w:val="00F03590"/>
    <w:rsid w:val="00F177EF"/>
    <w:rsid w:val="00F177F5"/>
    <w:rsid w:val="00F94969"/>
    <w:rsid w:val="00FB14D1"/>
    <w:rsid w:val="00FB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1B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8C"/>
    <w:pPr>
      <w:spacing w:after="200" w:line="276" w:lineRule="auto"/>
    </w:pPr>
    <w:rPr>
      <w:rFonts w:eastAsia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D3188"/>
  </w:style>
  <w:style w:type="character" w:customStyle="1" w:styleId="Heading1Char">
    <w:name w:val="Heading 1 Char"/>
    <w:basedOn w:val="DefaultParagraphFont"/>
    <w:link w:val="Heading1"/>
    <w:uiPriority w:val="9"/>
    <w:rsid w:val="002E2F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041F46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91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8C"/>
    <w:pPr>
      <w:spacing w:after="200" w:line="276" w:lineRule="auto"/>
    </w:pPr>
    <w:rPr>
      <w:rFonts w:eastAsia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D3188"/>
  </w:style>
  <w:style w:type="character" w:customStyle="1" w:styleId="Heading1Char">
    <w:name w:val="Heading 1 Char"/>
    <w:basedOn w:val="DefaultParagraphFont"/>
    <w:link w:val="Heading1"/>
    <w:uiPriority w:val="9"/>
    <w:rsid w:val="002E2F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041F46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91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7B858B-D723-4363-9B98-5D1BCF75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9-1: Sample Job Hazard Analysis Template</vt:lpstr>
    </vt:vector>
  </TitlesOfParts>
  <Company>ACS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Entering an empty lab without wearing protective glasses</dc:title>
  <dc:creator>Hazard Identification and Evaluation Task Force of the American Chemical Society’s Committee on Chemical Safety</dc:creator>
  <cp:lastModifiedBy>Dorrie Hutchison</cp:lastModifiedBy>
  <cp:revision>5</cp:revision>
  <cp:lastPrinted>2016-06-22T20:14:00Z</cp:lastPrinted>
  <dcterms:created xsi:type="dcterms:W3CDTF">2016-06-24T00:51:00Z</dcterms:created>
  <dcterms:modified xsi:type="dcterms:W3CDTF">2016-06-24T21:10:00Z</dcterms:modified>
</cp:coreProperties>
</file>