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42B91" w14:textId="77777777" w:rsidR="00A7729B" w:rsidRPr="008547ED" w:rsidRDefault="00A7729B" w:rsidP="00F46990">
      <w:pPr>
        <w:pStyle w:val="Heading1"/>
        <w:spacing w:before="0" w:after="120" w:line="240" w:lineRule="auto"/>
        <w:ind w:left="-360"/>
        <w:rPr>
          <w:sz w:val="28"/>
        </w:rPr>
      </w:pPr>
      <w:bookmarkStart w:id="0" w:name="_GoBack"/>
      <w:r w:rsidRPr="008547ED">
        <w:rPr>
          <w:sz w:val="28"/>
        </w:rPr>
        <w:t>Management of change: relocating moisture removal column</w:t>
      </w:r>
    </w:p>
    <w:bookmarkEnd w:id="0"/>
    <w:p w14:paraId="39816E34" w14:textId="14180344" w:rsidR="006B7B93" w:rsidRDefault="006B7B93" w:rsidP="006B7B93">
      <w:pPr>
        <w:spacing w:after="60"/>
        <w:ind w:left="-360"/>
        <w:rPr>
          <w:rFonts w:asciiTheme="minorHAnsi" w:hAnsiTheme="minorHAnsi"/>
          <w:szCs w:val="24"/>
        </w:rPr>
      </w:pPr>
      <w:r w:rsidRPr="006B7B93">
        <w:rPr>
          <w:rFonts w:asciiTheme="minorHAnsi" w:hAnsiTheme="minorHAnsi"/>
          <w:szCs w:val="24"/>
        </w:rPr>
        <w:softHyphen/>
        <w:t>Table 10-6</w:t>
      </w:r>
    </w:p>
    <w:p w14:paraId="1A95FA05" w14:textId="77777777" w:rsidR="006B7B93" w:rsidRPr="00DF23AA" w:rsidRDefault="006B7B93" w:rsidP="006B7B93">
      <w:pPr>
        <w:spacing w:after="0" w:line="240" w:lineRule="auto"/>
        <w:ind w:left="-360"/>
        <w:rPr>
          <w:rFonts w:ascii="Cambria" w:hAnsi="Cambria"/>
          <w:sz w:val="20"/>
          <w:szCs w:val="20"/>
        </w:rPr>
      </w:pPr>
      <w:r w:rsidRPr="00DF23AA">
        <w:rPr>
          <w:rFonts w:ascii="Cambria" w:hAnsi="Cambria"/>
          <w:sz w:val="20"/>
          <w:szCs w:val="20"/>
        </w:rPr>
        <w:t>The next example illustrates the essential principle of an important safety concept called “management of change.” A management</w:t>
      </w:r>
      <w:r>
        <w:rPr>
          <w:rFonts w:ascii="Cambria" w:hAnsi="Cambria"/>
          <w:sz w:val="20"/>
          <w:szCs w:val="20"/>
        </w:rPr>
        <w:t xml:space="preserve"> </w:t>
      </w:r>
      <w:r w:rsidRPr="00DF23AA">
        <w:rPr>
          <w:rFonts w:ascii="Cambria" w:hAnsi="Cambria"/>
          <w:sz w:val="20"/>
          <w:szCs w:val="20"/>
        </w:rPr>
        <w:t>of</w:t>
      </w:r>
      <w:r>
        <w:rPr>
          <w:rFonts w:ascii="Cambria" w:hAnsi="Cambria"/>
          <w:sz w:val="20"/>
          <w:szCs w:val="20"/>
        </w:rPr>
        <w:t xml:space="preserve"> </w:t>
      </w:r>
      <w:r w:rsidRPr="00DF23AA">
        <w:rPr>
          <w:rFonts w:ascii="Cambria" w:hAnsi="Cambria"/>
          <w:sz w:val="20"/>
          <w:szCs w:val="20"/>
        </w:rPr>
        <w:t>change analysis should be conducted before changes to the experimental apparatus, materials, or procedure are implemented to evaluate whether the planned changes present new risks and how any new risks should be managed.</w:t>
      </w:r>
    </w:p>
    <w:p w14:paraId="06A5515C" w14:textId="77777777" w:rsidR="006B7B93" w:rsidRPr="00DF23AA" w:rsidRDefault="006B7B93" w:rsidP="006B7B93">
      <w:pPr>
        <w:spacing w:after="0" w:line="240" w:lineRule="auto"/>
        <w:ind w:left="-360"/>
        <w:rPr>
          <w:rFonts w:ascii="Cambria" w:hAnsi="Cambria"/>
          <w:sz w:val="20"/>
          <w:szCs w:val="20"/>
        </w:rPr>
      </w:pPr>
    </w:p>
    <w:p w14:paraId="17773AF4" w14:textId="0F2EEB1A" w:rsidR="006B7B93" w:rsidRPr="006B7B93" w:rsidRDefault="006B7B93" w:rsidP="006B7B93">
      <w:pPr>
        <w:spacing w:after="120" w:line="240" w:lineRule="auto"/>
        <w:ind w:left="-360"/>
        <w:rPr>
          <w:rFonts w:asciiTheme="minorHAnsi" w:hAnsiTheme="minorHAnsi"/>
          <w:sz w:val="18"/>
        </w:rPr>
      </w:pPr>
      <w:r w:rsidRPr="00DF23AA">
        <w:rPr>
          <w:rFonts w:ascii="Cambria" w:hAnsi="Cambria"/>
          <w:sz w:val="20"/>
          <w:szCs w:val="20"/>
        </w:rPr>
        <w:t>A moisture</w:t>
      </w:r>
      <w:r>
        <w:rPr>
          <w:rFonts w:ascii="Cambria" w:hAnsi="Cambria"/>
          <w:sz w:val="20"/>
          <w:szCs w:val="20"/>
        </w:rPr>
        <w:t xml:space="preserve"> </w:t>
      </w:r>
      <w:r w:rsidRPr="00DF23AA">
        <w:rPr>
          <w:rFonts w:ascii="Cambria" w:hAnsi="Cambria"/>
          <w:sz w:val="20"/>
          <w:szCs w:val="20"/>
        </w:rPr>
        <w:t>removal column, consisting of a plastic housing loaded with desiccant located downstream of a gas regulator, was relocated to another gas system running at significantly higher pressure.</w:t>
      </w: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Management of change: relocating moisture removal column"/>
        <w:tblDescription w:val="Table 10-6. What-if Analysis. The next example illustrates the essential principle of an important safety concept called “management of change.” A management of change analysis should be conducted before changes to the experimental apparatus, materials, or procedure are implemented to evaluate whether the planned changes present new risks and how any new risks should be managed.&#10;"/>
      </w:tblPr>
      <w:tblGrid>
        <w:gridCol w:w="1799"/>
        <w:gridCol w:w="1081"/>
        <w:gridCol w:w="720"/>
        <w:gridCol w:w="1710"/>
        <w:gridCol w:w="1710"/>
        <w:gridCol w:w="3060"/>
      </w:tblGrid>
      <w:tr w:rsidR="0068065F" w:rsidRPr="00DF23AA" w14:paraId="48107E4F" w14:textId="77777777" w:rsidTr="006B7B93">
        <w:trPr>
          <w:tblHeader/>
        </w:trPr>
        <w:tc>
          <w:tcPr>
            <w:tcW w:w="2880" w:type="dxa"/>
            <w:gridSpan w:val="2"/>
            <w:tcBorders>
              <w:top w:val="single" w:sz="4" w:space="0" w:color="auto"/>
              <w:left w:val="single" w:sz="4" w:space="0" w:color="auto"/>
              <w:bottom w:val="single" w:sz="4" w:space="0" w:color="auto"/>
              <w:right w:val="single" w:sz="4" w:space="0" w:color="auto"/>
            </w:tcBorders>
            <w:shd w:val="clear" w:color="auto" w:fill="95B3D7"/>
          </w:tcPr>
          <w:p w14:paraId="4ABEE2D1"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Division:</w:t>
            </w:r>
          </w:p>
          <w:p w14:paraId="1810477E"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Chemical Engineering</w:t>
            </w:r>
          </w:p>
        </w:tc>
        <w:tc>
          <w:tcPr>
            <w:tcW w:w="4140" w:type="dxa"/>
            <w:gridSpan w:val="3"/>
            <w:tcBorders>
              <w:top w:val="single" w:sz="4" w:space="0" w:color="auto"/>
              <w:left w:val="single" w:sz="4" w:space="0" w:color="auto"/>
              <w:bottom w:val="single" w:sz="4" w:space="0" w:color="auto"/>
              <w:right w:val="single" w:sz="4" w:space="0" w:color="auto"/>
            </w:tcBorders>
            <w:shd w:val="clear" w:color="auto" w:fill="95B3D7"/>
          </w:tcPr>
          <w:p w14:paraId="43935EE7"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Description of Operation: Removal of desiccant column from one gas system and placement on another</w:t>
            </w:r>
          </w:p>
          <w:p w14:paraId="07AC8B41" w14:textId="77777777" w:rsidR="0068065F" w:rsidRPr="003B70A1" w:rsidRDefault="0068065F" w:rsidP="006C4C49">
            <w:pPr>
              <w:spacing w:after="0" w:line="240" w:lineRule="auto"/>
              <w:rPr>
                <w:rFonts w:ascii="Cambria" w:eastAsia="Times New Roman" w:hAnsi="Cambria"/>
                <w:b/>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95B3D7"/>
          </w:tcPr>
          <w:p w14:paraId="0166ED19"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By:</w:t>
            </w:r>
          </w:p>
          <w:p w14:paraId="64A27933"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Date:</w:t>
            </w:r>
          </w:p>
        </w:tc>
      </w:tr>
      <w:tr w:rsidR="0068065F" w:rsidRPr="00DF23AA" w14:paraId="723B1C85" w14:textId="77777777" w:rsidTr="006B7B93">
        <w:trPr>
          <w:tblHeader/>
        </w:trPr>
        <w:tc>
          <w:tcPr>
            <w:tcW w:w="1799" w:type="dxa"/>
            <w:tcBorders>
              <w:top w:val="single" w:sz="4" w:space="0" w:color="auto"/>
              <w:left w:val="single" w:sz="4" w:space="0" w:color="auto"/>
              <w:bottom w:val="single" w:sz="4" w:space="0" w:color="auto"/>
              <w:right w:val="single" w:sz="4" w:space="0" w:color="auto"/>
            </w:tcBorders>
            <w:shd w:val="clear" w:color="auto" w:fill="95B3D7"/>
          </w:tcPr>
          <w:p w14:paraId="3BCA6767"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What if?</w:t>
            </w:r>
          </w:p>
        </w:tc>
        <w:tc>
          <w:tcPr>
            <w:tcW w:w="1801" w:type="dxa"/>
            <w:gridSpan w:val="2"/>
            <w:tcBorders>
              <w:top w:val="single" w:sz="4" w:space="0" w:color="auto"/>
              <w:left w:val="single" w:sz="4" w:space="0" w:color="auto"/>
              <w:bottom w:val="single" w:sz="4" w:space="0" w:color="auto"/>
              <w:right w:val="single" w:sz="4" w:space="0" w:color="auto"/>
            </w:tcBorders>
            <w:shd w:val="clear" w:color="auto" w:fill="95B3D7"/>
          </w:tcPr>
          <w:p w14:paraId="5EEDB7ED"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Answer</w:t>
            </w:r>
          </w:p>
        </w:tc>
        <w:tc>
          <w:tcPr>
            <w:tcW w:w="1710" w:type="dxa"/>
            <w:tcBorders>
              <w:top w:val="single" w:sz="4" w:space="0" w:color="auto"/>
              <w:left w:val="single" w:sz="4" w:space="0" w:color="auto"/>
              <w:bottom w:val="single" w:sz="4" w:space="0" w:color="auto"/>
              <w:right w:val="single" w:sz="4" w:space="0" w:color="auto"/>
            </w:tcBorders>
            <w:shd w:val="clear" w:color="auto" w:fill="95B3D7"/>
          </w:tcPr>
          <w:p w14:paraId="60B5F34F"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Probability</w:t>
            </w:r>
          </w:p>
        </w:tc>
        <w:tc>
          <w:tcPr>
            <w:tcW w:w="1710" w:type="dxa"/>
            <w:tcBorders>
              <w:top w:val="single" w:sz="4" w:space="0" w:color="auto"/>
              <w:left w:val="single" w:sz="4" w:space="0" w:color="auto"/>
              <w:bottom w:val="single" w:sz="4" w:space="0" w:color="auto"/>
              <w:right w:val="single" w:sz="4" w:space="0" w:color="auto"/>
            </w:tcBorders>
            <w:shd w:val="clear" w:color="auto" w:fill="95B3D7"/>
          </w:tcPr>
          <w:p w14:paraId="3F441356"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Consequences</w:t>
            </w:r>
          </w:p>
        </w:tc>
        <w:tc>
          <w:tcPr>
            <w:tcW w:w="3060" w:type="dxa"/>
            <w:tcBorders>
              <w:top w:val="single" w:sz="4" w:space="0" w:color="auto"/>
              <w:left w:val="single" w:sz="4" w:space="0" w:color="auto"/>
              <w:bottom w:val="single" w:sz="4" w:space="0" w:color="auto"/>
              <w:right w:val="single" w:sz="4" w:space="0" w:color="auto"/>
            </w:tcBorders>
            <w:shd w:val="clear" w:color="auto" w:fill="95B3D7"/>
          </w:tcPr>
          <w:p w14:paraId="31A6AAD3" w14:textId="77777777" w:rsidR="0068065F" w:rsidRPr="003B70A1" w:rsidRDefault="0068065F" w:rsidP="006C4C49">
            <w:pPr>
              <w:spacing w:after="0" w:line="240" w:lineRule="auto"/>
              <w:rPr>
                <w:rFonts w:ascii="Cambria" w:eastAsia="Times New Roman" w:hAnsi="Cambria"/>
                <w:b/>
                <w:sz w:val="20"/>
                <w:szCs w:val="20"/>
              </w:rPr>
            </w:pPr>
            <w:r w:rsidRPr="003B70A1">
              <w:rPr>
                <w:rFonts w:ascii="Cambria" w:eastAsia="Times New Roman" w:hAnsi="Cambria"/>
                <w:b/>
                <w:sz w:val="20"/>
                <w:szCs w:val="20"/>
              </w:rPr>
              <w:t>Recommendations</w:t>
            </w:r>
          </w:p>
          <w:p w14:paraId="61F43FA9" w14:textId="77777777" w:rsidR="0068065F" w:rsidRPr="003B70A1" w:rsidRDefault="0068065F" w:rsidP="006C4C49">
            <w:pPr>
              <w:spacing w:after="0" w:line="240" w:lineRule="auto"/>
              <w:rPr>
                <w:rFonts w:ascii="Cambria" w:eastAsia="Times New Roman" w:hAnsi="Cambria"/>
                <w:b/>
                <w:sz w:val="20"/>
                <w:szCs w:val="20"/>
              </w:rPr>
            </w:pPr>
          </w:p>
        </w:tc>
      </w:tr>
      <w:tr w:rsidR="0068065F" w:rsidRPr="00DF23AA" w14:paraId="7681262C" w14:textId="77777777" w:rsidTr="006C5834">
        <w:tc>
          <w:tcPr>
            <w:tcW w:w="1799" w:type="dxa"/>
            <w:tcBorders>
              <w:top w:val="single" w:sz="4" w:space="0" w:color="auto"/>
              <w:left w:val="single" w:sz="4" w:space="0" w:color="auto"/>
              <w:bottom w:val="single" w:sz="4" w:space="0" w:color="auto"/>
              <w:right w:val="single" w:sz="4" w:space="0" w:color="auto"/>
            </w:tcBorders>
            <w:shd w:val="clear" w:color="auto" w:fill="C6D9F1"/>
          </w:tcPr>
          <w:p w14:paraId="60C20A42" w14:textId="77777777" w:rsidR="0068065F" w:rsidRPr="00993675" w:rsidRDefault="0068065F" w:rsidP="006C4C49">
            <w:pPr>
              <w:spacing w:after="0" w:line="240" w:lineRule="auto"/>
              <w:rPr>
                <w:rFonts w:ascii="Cambria" w:eastAsia="Times New Roman" w:hAnsi="Cambria"/>
                <w:sz w:val="20"/>
                <w:szCs w:val="20"/>
              </w:rPr>
            </w:pPr>
            <w:r w:rsidRPr="00993675">
              <w:rPr>
                <w:rFonts w:ascii="Cambria" w:eastAsia="Times New Roman" w:hAnsi="Cambria"/>
                <w:sz w:val="20"/>
                <w:szCs w:val="20"/>
              </w:rPr>
              <w:t>Column is not rated for pressure of new system</w:t>
            </w:r>
          </w:p>
        </w:tc>
        <w:tc>
          <w:tcPr>
            <w:tcW w:w="1801" w:type="dxa"/>
            <w:gridSpan w:val="2"/>
            <w:tcBorders>
              <w:top w:val="single" w:sz="4" w:space="0" w:color="auto"/>
              <w:left w:val="single" w:sz="4" w:space="0" w:color="auto"/>
              <w:bottom w:val="single" w:sz="4" w:space="0" w:color="auto"/>
              <w:right w:val="single" w:sz="4" w:space="0" w:color="auto"/>
            </w:tcBorders>
          </w:tcPr>
          <w:p w14:paraId="0F106E35" w14:textId="77777777" w:rsidR="0068065F" w:rsidRPr="00993675" w:rsidRDefault="0068065F" w:rsidP="006C4C49">
            <w:pPr>
              <w:spacing w:after="0" w:line="240" w:lineRule="auto"/>
              <w:rPr>
                <w:rFonts w:ascii="Cambria" w:eastAsia="Times New Roman" w:hAnsi="Cambria"/>
                <w:b/>
                <w:sz w:val="20"/>
                <w:szCs w:val="20"/>
              </w:rPr>
            </w:pPr>
            <w:r w:rsidRPr="00993675">
              <w:rPr>
                <w:rFonts w:ascii="Cambria" w:eastAsia="Times New Roman" w:hAnsi="Cambria"/>
                <w:sz w:val="20"/>
                <w:szCs w:val="20"/>
              </w:rPr>
              <w:t>Column could explode</w:t>
            </w:r>
          </w:p>
        </w:tc>
        <w:tc>
          <w:tcPr>
            <w:tcW w:w="1710" w:type="dxa"/>
            <w:tcBorders>
              <w:top w:val="single" w:sz="4" w:space="0" w:color="auto"/>
              <w:left w:val="single" w:sz="4" w:space="0" w:color="auto"/>
              <w:bottom w:val="single" w:sz="4" w:space="0" w:color="auto"/>
              <w:right w:val="single" w:sz="4" w:space="0" w:color="auto"/>
            </w:tcBorders>
          </w:tcPr>
          <w:p w14:paraId="04608DC5" w14:textId="77777777" w:rsidR="0068065F" w:rsidRPr="00993675" w:rsidRDefault="0068065F" w:rsidP="006C4C49">
            <w:pPr>
              <w:spacing w:after="0" w:line="240" w:lineRule="auto"/>
              <w:rPr>
                <w:rFonts w:ascii="Cambria" w:eastAsia="Times New Roman" w:hAnsi="Cambria"/>
                <w:b/>
                <w:sz w:val="20"/>
                <w:szCs w:val="20"/>
              </w:rPr>
            </w:pPr>
            <w:r w:rsidRPr="00993675">
              <w:rPr>
                <w:rFonts w:ascii="Cambria" w:eastAsia="Times New Roman" w:hAnsi="Cambria"/>
                <w:sz w:val="20"/>
                <w:szCs w:val="20"/>
              </w:rPr>
              <w:t>Probable, if no lower rated component in gas stream</w:t>
            </w:r>
          </w:p>
        </w:tc>
        <w:tc>
          <w:tcPr>
            <w:tcW w:w="1710" w:type="dxa"/>
            <w:tcBorders>
              <w:top w:val="single" w:sz="4" w:space="0" w:color="auto"/>
              <w:left w:val="single" w:sz="4" w:space="0" w:color="auto"/>
              <w:bottom w:val="single" w:sz="4" w:space="0" w:color="auto"/>
              <w:right w:val="single" w:sz="4" w:space="0" w:color="auto"/>
            </w:tcBorders>
          </w:tcPr>
          <w:p w14:paraId="072B7FFC" w14:textId="77777777" w:rsidR="0068065F" w:rsidRPr="00993675" w:rsidRDefault="0068065F" w:rsidP="006C4C49">
            <w:pPr>
              <w:spacing w:after="0" w:line="240" w:lineRule="auto"/>
              <w:rPr>
                <w:rFonts w:ascii="Cambria" w:eastAsia="Times New Roman" w:hAnsi="Cambria"/>
                <w:b/>
                <w:sz w:val="20"/>
                <w:szCs w:val="20"/>
              </w:rPr>
            </w:pPr>
            <w:r w:rsidRPr="00993675">
              <w:rPr>
                <w:rFonts w:ascii="Cambria" w:eastAsia="Times New Roman" w:hAnsi="Cambria"/>
                <w:sz w:val="20"/>
                <w:szCs w:val="20"/>
              </w:rPr>
              <w:t>Severe</w:t>
            </w:r>
          </w:p>
        </w:tc>
        <w:tc>
          <w:tcPr>
            <w:tcW w:w="3060" w:type="dxa"/>
            <w:tcBorders>
              <w:top w:val="single" w:sz="4" w:space="0" w:color="auto"/>
              <w:left w:val="single" w:sz="4" w:space="0" w:color="auto"/>
              <w:bottom w:val="single" w:sz="4" w:space="0" w:color="auto"/>
              <w:right w:val="single" w:sz="4" w:space="0" w:color="auto"/>
            </w:tcBorders>
          </w:tcPr>
          <w:p w14:paraId="2AD9899D" w14:textId="77777777" w:rsidR="0068065F" w:rsidRPr="00993675" w:rsidRDefault="0068065F" w:rsidP="006C4C49">
            <w:pPr>
              <w:spacing w:after="0" w:line="240" w:lineRule="auto"/>
              <w:rPr>
                <w:rFonts w:ascii="Cambria" w:eastAsia="Times New Roman" w:hAnsi="Cambria"/>
                <w:b/>
                <w:sz w:val="20"/>
                <w:szCs w:val="20"/>
              </w:rPr>
            </w:pPr>
            <w:r w:rsidRPr="00993675">
              <w:rPr>
                <w:rFonts w:ascii="Cambria" w:eastAsia="Times New Roman" w:hAnsi="Cambria"/>
                <w:sz w:val="20"/>
                <w:szCs w:val="20"/>
              </w:rPr>
              <w:t>Assure column is rated for cylinder pressure or install an overpressure device with relief pressure below pressure rating of column</w:t>
            </w:r>
          </w:p>
        </w:tc>
      </w:tr>
    </w:tbl>
    <w:p w14:paraId="23007DCE" w14:textId="77777777" w:rsidR="006C5834" w:rsidRDefault="006C5834" w:rsidP="004D3188">
      <w:pPr>
        <w:tabs>
          <w:tab w:val="left" w:pos="3840"/>
        </w:tabs>
      </w:pPr>
    </w:p>
    <w:p w14:paraId="32C80800" w14:textId="77777777" w:rsidR="0074242D" w:rsidRPr="0074242D" w:rsidRDefault="0074242D" w:rsidP="0074242D">
      <w:pPr>
        <w:ind w:left="-360"/>
        <w:rPr>
          <w:rFonts w:ascii="Cambria" w:hAnsi="Cambria"/>
          <w:color w:val="595959"/>
          <w:sz w:val="20"/>
        </w:rPr>
      </w:pPr>
      <w:r w:rsidRPr="0074242D">
        <w:rPr>
          <w:rFonts w:ascii="Cambria" w:hAnsi="Cambria"/>
          <w:color w:val="595959"/>
          <w:sz w:val="20"/>
        </w:rPr>
        <w:t>This file is excerpted from “Identifying and Evaluating Hazards in Research Laboratories: Guidelines developed by the Hazard Identification and Evaluation Task Force of the American Chemical Society’s Committee on Chemical Safety”.</w:t>
      </w:r>
    </w:p>
    <w:p w14:paraId="3EE7B374" w14:textId="77777777" w:rsidR="0074242D" w:rsidRPr="0074242D" w:rsidRDefault="0074242D" w:rsidP="0074242D">
      <w:pPr>
        <w:ind w:left="-360"/>
        <w:rPr>
          <w:rFonts w:ascii="Cambria" w:hAnsi="Cambria"/>
          <w:color w:val="595959"/>
          <w:sz w:val="20"/>
        </w:rPr>
      </w:pPr>
      <w:r w:rsidRPr="0074242D">
        <w:rPr>
          <w:rFonts w:ascii="Cambria" w:hAnsi="Cambria"/>
          <w:color w:val="595959"/>
          <w:sz w:val="20"/>
        </w:rPr>
        <w:t>© Copyright 2015 American Chemical Society</w:t>
      </w:r>
    </w:p>
    <w:p w14:paraId="4340808E" w14:textId="77777777" w:rsidR="0074242D" w:rsidRPr="00561B0D" w:rsidRDefault="0074242D" w:rsidP="004D3188">
      <w:pPr>
        <w:tabs>
          <w:tab w:val="left" w:pos="3840"/>
        </w:tabs>
      </w:pPr>
    </w:p>
    <w:sectPr w:rsidR="0074242D" w:rsidRPr="00561B0D" w:rsidSect="006E2315">
      <w:headerReference w:type="even" r:id="rId9"/>
      <w:headerReference w:type="default" r:id="rId10"/>
      <w:footerReference w:type="even" r:id="rId11"/>
      <w:footerReference w:type="default" r:id="rId12"/>
      <w:headerReference w:type="first" r:id="rId13"/>
      <w:footerReference w:type="first" r:id="rId14"/>
      <w:pgSz w:w="12240" w:h="15840"/>
      <w:pgMar w:top="81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6E129" w14:textId="77777777" w:rsidR="005E46B1" w:rsidRDefault="005E46B1" w:rsidP="00136352">
      <w:pPr>
        <w:spacing w:after="0" w:line="240" w:lineRule="auto"/>
      </w:pPr>
      <w:r>
        <w:separator/>
      </w:r>
    </w:p>
  </w:endnote>
  <w:endnote w:type="continuationSeparator" w:id="0">
    <w:p w14:paraId="379BD510" w14:textId="77777777" w:rsidR="005E46B1" w:rsidRDefault="005E46B1" w:rsidP="001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2C46" w14:textId="77777777" w:rsidR="007C54F7" w:rsidRDefault="007C5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C903" w14:textId="77777777" w:rsidR="007C54F7" w:rsidRDefault="007C5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98C9" w14:textId="77777777" w:rsidR="007C54F7" w:rsidRDefault="007C5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0F43" w14:textId="77777777" w:rsidR="005E46B1" w:rsidRDefault="005E46B1" w:rsidP="00136352">
      <w:pPr>
        <w:spacing w:after="0" w:line="240" w:lineRule="auto"/>
      </w:pPr>
      <w:r>
        <w:separator/>
      </w:r>
    </w:p>
  </w:footnote>
  <w:footnote w:type="continuationSeparator" w:id="0">
    <w:p w14:paraId="28707BEB" w14:textId="77777777" w:rsidR="005E46B1" w:rsidRDefault="005E46B1" w:rsidP="00136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F538" w14:textId="77777777" w:rsidR="007C54F7" w:rsidRDefault="007C5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C1D1" w14:textId="77777777" w:rsidR="007C54F7" w:rsidRDefault="007C5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0E91" w14:textId="77777777" w:rsidR="007C54F7" w:rsidRDefault="007C5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0359F"/>
    <w:multiLevelType w:val="hybridMultilevel"/>
    <w:tmpl w:val="80B0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E"/>
    <w:rsid w:val="000E17EE"/>
    <w:rsid w:val="000E2B5D"/>
    <w:rsid w:val="000F1E04"/>
    <w:rsid w:val="000F217F"/>
    <w:rsid w:val="00136352"/>
    <w:rsid w:val="00165FAA"/>
    <w:rsid w:val="001913EB"/>
    <w:rsid w:val="001B2B82"/>
    <w:rsid w:val="00206DAF"/>
    <w:rsid w:val="00245F51"/>
    <w:rsid w:val="0029795B"/>
    <w:rsid w:val="002B4105"/>
    <w:rsid w:val="002E2FE0"/>
    <w:rsid w:val="00344B64"/>
    <w:rsid w:val="00451F62"/>
    <w:rsid w:val="004A3202"/>
    <w:rsid w:val="004D3188"/>
    <w:rsid w:val="00535E3E"/>
    <w:rsid w:val="00535FDC"/>
    <w:rsid w:val="00561B0D"/>
    <w:rsid w:val="005A02BE"/>
    <w:rsid w:val="005E46B1"/>
    <w:rsid w:val="0068065F"/>
    <w:rsid w:val="006B7B93"/>
    <w:rsid w:val="006C5834"/>
    <w:rsid w:val="006E2315"/>
    <w:rsid w:val="0074242D"/>
    <w:rsid w:val="00756881"/>
    <w:rsid w:val="007C54F7"/>
    <w:rsid w:val="007D705D"/>
    <w:rsid w:val="007F21FF"/>
    <w:rsid w:val="007F7D3A"/>
    <w:rsid w:val="00813B0F"/>
    <w:rsid w:val="008547ED"/>
    <w:rsid w:val="008A22EB"/>
    <w:rsid w:val="009241BC"/>
    <w:rsid w:val="009E40CA"/>
    <w:rsid w:val="00A02B6E"/>
    <w:rsid w:val="00A41628"/>
    <w:rsid w:val="00A7729B"/>
    <w:rsid w:val="00A946C1"/>
    <w:rsid w:val="00AD094B"/>
    <w:rsid w:val="00B35718"/>
    <w:rsid w:val="00C37492"/>
    <w:rsid w:val="00CD4AF2"/>
    <w:rsid w:val="00D10A1E"/>
    <w:rsid w:val="00D71B69"/>
    <w:rsid w:val="00DD21A2"/>
    <w:rsid w:val="00E902E4"/>
    <w:rsid w:val="00ED549B"/>
    <w:rsid w:val="00ED5CE7"/>
    <w:rsid w:val="00F03590"/>
    <w:rsid w:val="00F177EF"/>
    <w:rsid w:val="00F46990"/>
    <w:rsid w:val="00FB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1B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E2F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2E2FE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E2F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2E2FE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29FB-B691-4B80-8A5C-96594BB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Table 9-1: Sample Job Hazard Analysis Template</vt:lpstr>
    </vt:vector>
  </TitlesOfParts>
  <Company>ACS</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change: relocating moisture removal column</dc:title>
  <dc:creator>Hazard Identification and Evaluation Task Force of the American Chemical Society’s Committee on Chemical Safety</dc:creator>
  <cp:lastModifiedBy>Dorrie Hutchison</cp:lastModifiedBy>
  <cp:revision>6</cp:revision>
  <cp:lastPrinted>2016-05-03T19:51:00Z</cp:lastPrinted>
  <dcterms:created xsi:type="dcterms:W3CDTF">2016-06-24T00:53:00Z</dcterms:created>
  <dcterms:modified xsi:type="dcterms:W3CDTF">2016-06-24T21:10:00Z</dcterms:modified>
</cp:coreProperties>
</file>