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Pr="003F579D">
        <w:t>II. Institutional Environment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3F579D" w:rsidP="003F579D">
      <w:pPr>
        <w:ind w:left="450" w:right="-810"/>
      </w:pPr>
      <w:r>
        <w:t xml:space="preserve">The following is Section II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numPr>
          <w:ilvl w:val="0"/>
          <w:numId w:val="22"/>
        </w:numPr>
        <w:ind w:right="-810"/>
      </w:pPr>
      <w:r>
        <w:t>Accreditation</w:t>
      </w:r>
    </w:p>
    <w:p w:rsidR="003F579D" w:rsidRDefault="003F579D" w:rsidP="003F579D">
      <w:pPr>
        <w:numPr>
          <w:ilvl w:val="0"/>
          <w:numId w:val="22"/>
        </w:numPr>
        <w:ind w:right="-810"/>
      </w:pPr>
      <w:r>
        <w:t>Administrative structure</w:t>
      </w:r>
    </w:p>
    <w:p w:rsidR="003F579D" w:rsidRDefault="003F579D" w:rsidP="003F579D">
      <w:pPr>
        <w:numPr>
          <w:ilvl w:val="0"/>
          <w:numId w:val="22"/>
        </w:numPr>
        <w:ind w:right="-810"/>
      </w:pPr>
      <w:r>
        <w:t>Faculty policies</w:t>
      </w:r>
    </w:p>
    <w:p w:rsidR="003F579D" w:rsidRDefault="003F579D" w:rsidP="003F579D">
      <w:pPr>
        <w:numPr>
          <w:ilvl w:val="0"/>
          <w:numId w:val="22"/>
        </w:numPr>
        <w:ind w:right="-810"/>
      </w:pPr>
      <w:r>
        <w:t>Program budget</w:t>
      </w:r>
    </w:p>
    <w:p w:rsidR="003F579D" w:rsidRDefault="003F579D" w:rsidP="003F579D">
      <w:pPr>
        <w:numPr>
          <w:ilvl w:val="0"/>
          <w:numId w:val="22"/>
        </w:numPr>
        <w:ind w:right="-810"/>
      </w:pPr>
      <w:r>
        <w:t>Student support services</w:t>
      </w:r>
    </w:p>
    <w:p w:rsidR="003F579D" w:rsidRDefault="003F579D" w:rsidP="003F579D">
      <w:pPr>
        <w:numPr>
          <w:ilvl w:val="0"/>
          <w:numId w:val="22"/>
        </w:numPr>
        <w:ind w:right="-810"/>
      </w:pPr>
      <w:r>
        <w:t>Student outcome support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302C81" w:rsidRDefault="00302C81" w:rsidP="00302C81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97286D" w:rsidRDefault="0097286D">
      <w:pPr>
        <w:pStyle w:val="ACSbrandheading3"/>
      </w:pPr>
      <w:bookmarkStart w:id="7" w:name="_Toc320611675"/>
      <w:bookmarkStart w:id="8" w:name="_Toc436987761"/>
      <w:bookmarkStart w:id="9" w:name="SecII"/>
      <w:bookmarkEnd w:id="5"/>
      <w:bookmarkEnd w:id="6"/>
      <w:r>
        <w:lastRenderedPageBreak/>
        <w:t>II.</w:t>
      </w:r>
      <w:r w:rsidR="007E0121" w:rsidRPr="0003545A">
        <w:t xml:space="preserve"> Institutional Environment</w:t>
      </w:r>
      <w:bookmarkEnd w:id="7"/>
      <w:bookmarkEnd w:id="8"/>
    </w:p>
    <w:bookmarkEnd w:id="9"/>
    <w:p w:rsidR="007E0121" w:rsidRPr="0097286D" w:rsidRDefault="007E0121">
      <w:pPr>
        <w:tabs>
          <w:tab w:val="left" w:pos="450"/>
        </w:tabs>
        <w:ind w:right="-450"/>
        <w:rPr>
          <w:b/>
          <w:sz w:val="23"/>
        </w:rPr>
      </w:pPr>
    </w:p>
    <w:p w:rsidR="0097286D" w:rsidRPr="004F3CAD" w:rsidRDefault="0097286D">
      <w:pPr>
        <w:pStyle w:val="ACSbrandheading4"/>
      </w:pPr>
      <w:bookmarkStart w:id="10" w:name="_Toc436987762"/>
      <w:bookmarkStart w:id="11" w:name="SecIIA"/>
      <w:r w:rsidRPr="004F3CAD">
        <w:t xml:space="preserve">A. </w:t>
      </w:r>
      <w:r w:rsidR="00B752BB" w:rsidRPr="004F3CAD">
        <w:t>Accreditation</w:t>
      </w:r>
      <w:bookmarkEnd w:id="10"/>
    </w:p>
    <w:p w:rsidR="00A05D02" w:rsidRPr="00A05D02" w:rsidRDefault="00A05D02" w:rsidP="00A05D02">
      <w:pPr>
        <w:pStyle w:val="ACSbrandheading5"/>
        <w:rPr>
          <w:b w:val="0"/>
          <w:i w:val="0"/>
          <w:color w:val="245590"/>
        </w:rPr>
      </w:pPr>
      <w:bookmarkStart w:id="12" w:name="_Toc320611676"/>
      <w:bookmarkEnd w:id="11"/>
      <w:r w:rsidRPr="00A05D02">
        <w:rPr>
          <w:b w:val="0"/>
          <w:i w:val="0"/>
        </w:rPr>
        <w:t xml:space="preserve">(See Section 2.1 of the </w:t>
      </w:r>
      <w:r w:rsidRPr="00A05D02">
        <w:rPr>
          <w:b w:val="0"/>
        </w:rPr>
        <w:t>ACS Guidelines for Chemistry in Two-Year College Programs</w:t>
      </w:r>
      <w:r w:rsidR="00D23363">
        <w:rPr>
          <w:b w:val="0"/>
          <w:i w:val="0"/>
        </w:rPr>
        <w:t>, p. 3</w:t>
      </w:r>
      <w:r w:rsidRPr="00A05D02">
        <w:rPr>
          <w:b w:val="0"/>
          <w:i w:val="0"/>
        </w:rPr>
        <w:t>.</w:t>
      </w:r>
      <w:bookmarkEnd w:id="12"/>
      <w:r w:rsidRPr="00A05D02">
        <w:rPr>
          <w:b w:val="0"/>
          <w:i w:val="0"/>
        </w:rPr>
        <w:t>)</w:t>
      </w:r>
    </w:p>
    <w:p w:rsidR="00D23363" w:rsidRDefault="00D23363" w:rsidP="00D23363">
      <w:pPr>
        <w:rPr>
          <w:rFonts w:eastAsia="Times"/>
          <w:b/>
        </w:rPr>
      </w:pPr>
    </w:p>
    <w:p w:rsidR="00094CA6" w:rsidRPr="002D784F" w:rsidRDefault="006E5FF8" w:rsidP="00D23363">
      <w:pPr>
        <w:rPr>
          <w:rFonts w:eastAsia="Times"/>
          <w:b/>
        </w:rPr>
      </w:pPr>
      <w:r>
        <w:rPr>
          <w:rFonts w:eastAsia="Times"/>
          <w:b/>
        </w:rPr>
        <w:t xml:space="preserve">List all organizations that </w:t>
      </w:r>
      <w:r w:rsidR="00094CA6" w:rsidRPr="002D784F">
        <w:rPr>
          <w:rFonts w:eastAsia="Times"/>
          <w:b/>
        </w:rPr>
        <w:t>currently provide accreditation for the inst</w:t>
      </w:r>
      <w:r>
        <w:rPr>
          <w:rFonts w:eastAsia="Times"/>
          <w:b/>
        </w:rPr>
        <w:t>itution.</w:t>
      </w:r>
      <w:r w:rsidR="00EE0C73">
        <w:rPr>
          <w:rFonts w:eastAsia="Times"/>
          <w:b/>
        </w:rPr>
        <w:t xml:space="preserve"> Briefly describe any efforts to attain additional accreditation, if applicable. </w:t>
      </w:r>
      <w:r>
        <w:rPr>
          <w:rFonts w:eastAsia="Times"/>
          <w:b/>
        </w:rPr>
        <w:t xml:space="preserve"> </w:t>
      </w:r>
    </w:p>
    <w:p w:rsidR="00094CA6" w:rsidRDefault="00094CA6">
      <w:pPr>
        <w:ind w:left="360"/>
        <w:rPr>
          <w:rFonts w:eastAsia="Times"/>
        </w:rPr>
      </w:pPr>
    </w:p>
    <w:p w:rsidR="005E35D8" w:rsidRPr="00E81004" w:rsidRDefault="00302C81" w:rsidP="003F579D">
      <w:pPr>
        <w:numPr>
          <w:ilvl w:val="0"/>
          <w:numId w:val="17"/>
        </w:numPr>
        <w:rPr>
          <w:rFonts w:eastAsia="Times"/>
        </w:rPr>
      </w:pPr>
      <w:sdt>
        <w:sdtPr>
          <w:rPr>
            <w:rFonts w:eastAsia="Times"/>
          </w:rPr>
          <w:id w:val="849226864"/>
          <w:showingPlcHdr/>
        </w:sdtPr>
        <w:sdtEndPr/>
        <w:sdtContent>
          <w:bookmarkStart w:id="13" w:name="_GoBack"/>
          <w:r w:rsidR="005E35D8" w:rsidRPr="00E81004">
            <w:rPr>
              <w:rStyle w:val="PlaceholderText"/>
              <w:highlight w:val="yellow"/>
            </w:rPr>
            <w:t>Click here to enter text.</w:t>
          </w:r>
          <w:bookmarkEnd w:id="13"/>
        </w:sdtContent>
      </w:sdt>
    </w:p>
    <w:p w:rsidR="001140E4" w:rsidRDefault="001140E4">
      <w:pPr>
        <w:jc w:val="right"/>
        <w:sectPr w:rsidR="001140E4" w:rsidSect="00A05D02"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62775C" w:rsidRDefault="0062775C">
      <w:pPr>
        <w:pStyle w:val="ACSbrandheading4"/>
      </w:pPr>
    </w:p>
    <w:p w:rsidR="0062775C" w:rsidRDefault="0062775C">
      <w:pPr>
        <w:pStyle w:val="ACSbrandheading4"/>
      </w:pPr>
      <w:bookmarkStart w:id="14" w:name="_Toc436987763"/>
      <w:r>
        <w:t xml:space="preserve">B. </w:t>
      </w:r>
      <w:r w:rsidRPr="00CF490E">
        <w:t xml:space="preserve">Administrative </w:t>
      </w:r>
      <w:r>
        <w:t>s</w:t>
      </w:r>
      <w:r w:rsidRPr="00CF490E">
        <w:t>tructure</w:t>
      </w:r>
      <w:bookmarkEnd w:id="14"/>
      <w:r w:rsidRPr="00CF490E">
        <w:t xml:space="preserve"> 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2.2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2700"/>
        <w:gridCol w:w="2898"/>
      </w:tblGrid>
      <w:tr w:rsidR="0062775C" w:rsidTr="00D23363">
        <w:tc>
          <w:tcPr>
            <w:tcW w:w="3870" w:type="dxa"/>
            <w:tcBorders>
              <w:right w:val="nil"/>
            </w:tcBorders>
            <w:vAlign w:val="center"/>
          </w:tcPr>
          <w:p w:rsidR="0062775C" w:rsidRDefault="0062775C">
            <w:r>
              <w:t>Department and/or division in which chemistry program resides</w:t>
            </w:r>
            <w:r w:rsidR="00050B13">
              <w:t>:</w:t>
            </w:r>
          </w:p>
        </w:tc>
        <w:sdt>
          <w:sdtPr>
            <w:rPr>
              <w:highlight w:val="yellow"/>
            </w:rPr>
            <w:id w:val="323946433"/>
            <w:showingPlcHdr/>
          </w:sdtPr>
          <w:sdtEndPr/>
          <w:sdtContent>
            <w:tc>
              <w:tcPr>
                <w:tcW w:w="5598" w:type="dxa"/>
                <w:gridSpan w:val="2"/>
                <w:tcBorders>
                  <w:left w:val="nil"/>
                </w:tcBorders>
                <w:vAlign w:val="center"/>
              </w:tcPr>
              <w:p w:rsidR="0062775C" w:rsidRPr="0062775C" w:rsidRDefault="0062775C">
                <w:pPr>
                  <w:rPr>
                    <w:highlight w:val="yellow"/>
                  </w:rPr>
                </w:pPr>
                <w:r w:rsidRPr="0062775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50B13" w:rsidTr="00D23363">
        <w:tc>
          <w:tcPr>
            <w:tcW w:w="3870" w:type="dxa"/>
            <w:tcBorders>
              <w:right w:val="nil"/>
            </w:tcBorders>
            <w:vAlign w:val="center"/>
          </w:tcPr>
          <w:p w:rsidR="00050B13" w:rsidRDefault="00050B13" w:rsidP="00346CAA">
            <w:r>
              <w:t>Degree(s) held by administrator responsible for chemistry program: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050B13" w:rsidRDefault="00302C81">
            <w:sdt>
              <w:sdtPr>
                <w:id w:val="-2002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BS/BA in chemistry</w:t>
            </w:r>
          </w:p>
          <w:p w:rsidR="00050B13" w:rsidRDefault="00302C81">
            <w:sdt>
              <w:sdtPr>
                <w:id w:val="-20956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>MS/MA in chemistry</w:t>
            </w:r>
          </w:p>
          <w:p w:rsidR="00050B13" w:rsidRDefault="00302C81">
            <w:sdt>
              <w:sdtPr>
                <w:id w:val="1599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PhD in chemistry or chemistry education </w:t>
            </w:r>
          </w:p>
          <w:p w:rsidR="00050B13" w:rsidRDefault="00302C81">
            <w:sdt>
              <w:sdtPr>
                <w:id w:val="7410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BS/BA in other science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010BEA" w:rsidRDefault="00302C81">
            <w:sdt>
              <w:sdtPr>
                <w:id w:val="-8990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>MS/MA in other science</w:t>
            </w:r>
          </w:p>
          <w:p w:rsidR="00050B13" w:rsidRDefault="00302C81">
            <w:sdt>
              <w:sdtPr>
                <w:id w:val="16176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PhD in other science</w:t>
            </w:r>
          </w:p>
          <w:p w:rsidR="00050B13" w:rsidRDefault="00302C81">
            <w:sdt>
              <w:sdtPr>
                <w:id w:val="-3195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Doctorate of education</w:t>
            </w:r>
          </w:p>
          <w:p w:rsidR="00050B13" w:rsidRDefault="00302C81">
            <w:sdt>
              <w:sdtPr>
                <w:id w:val="-9173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Other (specify): </w:t>
            </w:r>
            <w:sdt>
              <w:sdtPr>
                <w:rPr>
                  <w:highlight w:val="yellow"/>
                </w:rPr>
                <w:id w:val="-1167625066"/>
                <w:showingPlcHdr/>
              </w:sdtPr>
              <w:sdtEndPr/>
              <w:sdtContent>
                <w:r w:rsidR="00050B13" w:rsidRPr="0062775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010BEA" w:rsidTr="00D23363">
        <w:trPr>
          <w:trHeight w:val="620"/>
        </w:trPr>
        <w:tc>
          <w:tcPr>
            <w:tcW w:w="3870" w:type="dxa"/>
            <w:tcBorders>
              <w:right w:val="nil"/>
            </w:tcBorders>
            <w:vAlign w:val="center"/>
          </w:tcPr>
          <w:p w:rsidR="00010BEA" w:rsidRDefault="00010BEA" w:rsidP="00346CAA">
            <w:r>
              <w:t xml:space="preserve">Amount of autonomy chemistry faculty </w:t>
            </w:r>
            <w:r w:rsidR="00860F19" w:rsidRPr="008A022D">
              <w:rPr>
                <w:b/>
                <w:i/>
              </w:rPr>
              <w:t>are granted</w:t>
            </w:r>
            <w:r w:rsidRPr="008A022D">
              <w:rPr>
                <w:b/>
              </w:rPr>
              <w:t xml:space="preserve"> </w:t>
            </w:r>
            <w:r>
              <w:t>on</w:t>
            </w:r>
            <w:r w:rsidRPr="0062775C">
              <w:t xml:space="preserve"> functions re</w:t>
            </w:r>
            <w:r>
              <w:t>lating to the chemistry courses: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010BEA" w:rsidRDefault="00302C81">
            <w:sdt>
              <w:sdtPr>
                <w:id w:val="-20013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Extensive</w:t>
            </w:r>
          </w:p>
          <w:p w:rsidR="00010BEA" w:rsidRDefault="00302C81">
            <w:sdt>
              <w:sdtPr>
                <w:id w:val="3298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Significant 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010BEA" w:rsidRDefault="00302C81">
            <w:sdt>
              <w:sdtPr>
                <w:id w:val="-8905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Moderate</w:t>
            </w:r>
          </w:p>
          <w:p w:rsidR="00010BEA" w:rsidRDefault="00302C81">
            <w:sdt>
              <w:sdtPr>
                <w:id w:val="-19610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Little or none</w:t>
            </w:r>
          </w:p>
        </w:tc>
      </w:tr>
      <w:tr w:rsidR="00860F19" w:rsidTr="00D23363">
        <w:trPr>
          <w:trHeight w:val="620"/>
        </w:trPr>
        <w:tc>
          <w:tcPr>
            <w:tcW w:w="3870" w:type="dxa"/>
            <w:tcBorders>
              <w:right w:val="nil"/>
            </w:tcBorders>
            <w:vAlign w:val="center"/>
          </w:tcPr>
          <w:p w:rsidR="00860F19" w:rsidRDefault="00860F19" w:rsidP="00346CAA">
            <w:r>
              <w:t xml:space="preserve">Amount of autonomy chemistry faculty </w:t>
            </w:r>
            <w:r w:rsidRPr="008A022D">
              <w:rPr>
                <w:b/>
                <w:i/>
              </w:rPr>
              <w:t>exhibit</w:t>
            </w:r>
            <w:r>
              <w:t xml:space="preserve"> on</w:t>
            </w:r>
            <w:r w:rsidRPr="0062775C">
              <w:t xml:space="preserve"> functions re</w:t>
            </w:r>
            <w:r>
              <w:t>lating to the chemistry courses: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860F19" w:rsidRDefault="00302C81">
            <w:sdt>
              <w:sdtPr>
                <w:id w:val="8890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Extensive</w:t>
            </w:r>
          </w:p>
          <w:p w:rsidR="00860F19" w:rsidRDefault="00302C81">
            <w:sdt>
              <w:sdtPr>
                <w:id w:val="13019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Significant 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860F19" w:rsidRDefault="00302C81">
            <w:sdt>
              <w:sdtPr>
                <w:id w:val="-1698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Moderate</w:t>
            </w:r>
          </w:p>
          <w:p w:rsidR="00860F19" w:rsidRDefault="00302C81">
            <w:sdt>
              <w:sdtPr>
                <w:id w:val="12726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Little or none</w:t>
            </w:r>
          </w:p>
        </w:tc>
      </w:tr>
    </w:tbl>
    <w:p w:rsidR="00050B13" w:rsidRDefault="00050B13" w:rsidP="00346CAA">
      <w:pPr>
        <w:ind w:left="360"/>
        <w:rPr>
          <w:b/>
        </w:rPr>
      </w:pPr>
    </w:p>
    <w:p w:rsidR="00050B13" w:rsidRPr="00CE42E3" w:rsidRDefault="00EE0C73" w:rsidP="00D23363">
      <w:pPr>
        <w:rPr>
          <w:b/>
        </w:rPr>
      </w:pPr>
      <w:r>
        <w:rPr>
          <w:b/>
        </w:rPr>
        <w:t>Briefly describe impact of</w:t>
      </w:r>
      <w:r w:rsidR="00050B13" w:rsidRPr="00CE42E3">
        <w:rPr>
          <w:b/>
        </w:rPr>
        <w:t xml:space="preserve"> </w:t>
      </w:r>
      <w:r w:rsidR="00050B13">
        <w:rPr>
          <w:b/>
        </w:rPr>
        <w:t>administrative structure</w:t>
      </w:r>
      <w:r>
        <w:rPr>
          <w:b/>
        </w:rPr>
        <w:t xml:space="preserve"> on chemistry or chemistry-based technology education at the institution</w:t>
      </w:r>
      <w:r w:rsidR="00050B13" w:rsidRPr="00CE42E3">
        <w:rPr>
          <w:b/>
        </w:rPr>
        <w:t xml:space="preserve">. </w:t>
      </w:r>
    </w:p>
    <w:p w:rsidR="00050B13" w:rsidRPr="00E81004" w:rsidRDefault="00050B13" w:rsidP="00D23363">
      <w:pPr>
        <w:rPr>
          <w:rFonts w:eastAsia="Times"/>
        </w:rPr>
      </w:pPr>
    </w:p>
    <w:p w:rsidR="00050B13" w:rsidRPr="00E81004" w:rsidRDefault="00302C81" w:rsidP="00D23363">
      <w:pPr>
        <w:rPr>
          <w:rFonts w:eastAsia="Times"/>
        </w:rPr>
      </w:pPr>
      <w:sdt>
        <w:sdtPr>
          <w:rPr>
            <w:rFonts w:eastAsia="Times"/>
          </w:rPr>
          <w:id w:val="-1920866942"/>
          <w:showingPlcHdr/>
        </w:sdtPr>
        <w:sdtEndPr/>
        <w:sdtContent>
          <w:r w:rsidR="00050B13" w:rsidRPr="00E81004">
            <w:rPr>
              <w:rStyle w:val="PlaceholderText"/>
              <w:highlight w:val="yellow"/>
            </w:rPr>
            <w:t>Click here to enter text.</w:t>
          </w:r>
        </w:sdtContent>
      </w:sdt>
    </w:p>
    <w:p w:rsidR="00715E7F" w:rsidRDefault="00715E7F">
      <w:pPr>
        <w:jc w:val="right"/>
      </w:pPr>
    </w:p>
    <w:p w:rsidR="007E0121" w:rsidRPr="0003545A" w:rsidRDefault="00430C4A" w:rsidP="00A05D02">
      <w:pPr>
        <w:pStyle w:val="ACSbrandheading4"/>
      </w:pPr>
      <w:bookmarkStart w:id="15" w:name="_Toc320611677"/>
      <w:bookmarkStart w:id="16" w:name="_Toc436987764"/>
      <w:bookmarkStart w:id="17" w:name="SecIIB"/>
      <w:r>
        <w:t>C</w:t>
      </w:r>
      <w:r w:rsidR="00B752BB">
        <w:t xml:space="preserve">. </w:t>
      </w:r>
      <w:r w:rsidR="007E0121" w:rsidRPr="0003545A">
        <w:t xml:space="preserve">Faculty </w:t>
      </w:r>
      <w:r w:rsidR="00865751">
        <w:t>p</w:t>
      </w:r>
      <w:r w:rsidR="007E0121" w:rsidRPr="0003545A">
        <w:t>olicies</w:t>
      </w:r>
      <w:bookmarkEnd w:id="15"/>
      <w:bookmarkEnd w:id="16"/>
    </w:p>
    <w:bookmarkEnd w:id="17"/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7E0121" w:rsidRDefault="007E0121">
      <w:pPr>
        <w:rPr>
          <w:b/>
        </w:rPr>
      </w:pPr>
      <w:r w:rsidRPr="002D784F">
        <w:rPr>
          <w:b/>
        </w:rPr>
        <w:t xml:space="preserve">Indicate </w:t>
      </w:r>
      <w:r w:rsidR="00430C4A">
        <w:rPr>
          <w:b/>
        </w:rPr>
        <w:t>the extent to which faculty are involved in the following</w:t>
      </w:r>
      <w:r w:rsidR="00BB3936" w:rsidRPr="002D784F">
        <w:rPr>
          <w:b/>
        </w:rPr>
        <w:t xml:space="preserve">. </w:t>
      </w:r>
      <w:r w:rsidR="00FC40BA">
        <w:rPr>
          <w:b/>
        </w:rPr>
        <w:softHyphen/>
      </w:r>
      <w:r w:rsidR="00430C4A">
        <w:rPr>
          <w:b/>
        </w:rPr>
        <w:t xml:space="preserve">If there is a lack of involvement, indicate whether the faculty are excluded or </w:t>
      </w:r>
      <w:r w:rsidR="00DE76F1">
        <w:rPr>
          <w:b/>
        </w:rPr>
        <w:t>simply not participating</w:t>
      </w:r>
      <w:r w:rsidR="00430C4A">
        <w:rPr>
          <w:b/>
        </w:rPr>
        <w:t>.</w:t>
      </w:r>
    </w:p>
    <w:p w:rsidR="002910E3" w:rsidRPr="00FC40BA" w:rsidRDefault="002910E3">
      <w:pPr>
        <w:rPr>
          <w:b/>
        </w:rPr>
      </w:pPr>
    </w:p>
    <w:tbl>
      <w:tblPr>
        <w:tblStyle w:val="LightShading"/>
        <w:tblW w:w="9270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2430"/>
      </w:tblGrid>
      <w:tr w:rsidR="00C83D15" w:rsidRPr="0041559B" w:rsidTr="00C8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:rsidR="00C83D15" w:rsidRPr="0041559B" w:rsidRDefault="00C83D15"/>
        </w:tc>
        <w:tc>
          <w:tcPr>
            <w:tcW w:w="2340" w:type="dxa"/>
            <w:shd w:val="clear" w:color="auto" w:fill="auto"/>
            <w:vAlign w:val="center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Involvement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Briefly describe</w:t>
            </w:r>
          </w:p>
        </w:tc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</w:t>
            </w:r>
            <w:r>
              <w:rPr>
                <w:b w:val="0"/>
              </w:rPr>
              <w:t>tablishment of faculty salaries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98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315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294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19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821260705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Faculty promotions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80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59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079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77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745529341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D</w:t>
            </w:r>
            <w:r w:rsidRPr="002D784F">
              <w:rPr>
                <w:b w:val="0"/>
              </w:rPr>
              <w:t>ecisions on ten</w:t>
            </w:r>
            <w:r>
              <w:rPr>
                <w:b w:val="0"/>
              </w:rPr>
              <w:t>ure and/or continuing contracts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15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39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343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383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467120648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stablishment</w:t>
            </w:r>
            <w:r>
              <w:rPr>
                <w:b w:val="0"/>
              </w:rPr>
              <w:t xml:space="preserve"> of leave (sabbatical or other)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24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257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01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131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786306907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lastRenderedPageBreak/>
              <w:t>Faculty recognition program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73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014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679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31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2140802943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F</w:t>
            </w:r>
            <w:r w:rsidRPr="002D784F">
              <w:rPr>
                <w:b w:val="0"/>
              </w:rPr>
              <w:t xml:space="preserve">aculty teaching </w:t>
            </w:r>
            <w:r>
              <w:rPr>
                <w:b w:val="0"/>
              </w:rPr>
              <w:t>assignments and other responsibilities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226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974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62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83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786612304"/>
            <w:showingPlcHdr/>
          </w:sdtPr>
          <w:sdtEndPr/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Development of chemistry curriculum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761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812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28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165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868445789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</w:t>
            </w:r>
            <w:r>
              <w:rPr>
                <w:b w:val="0"/>
              </w:rPr>
              <w:t>tablishment of hiring practices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79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0281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33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71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256954041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Chair selection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327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983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541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092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612354505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</w:t>
            </w:r>
            <w:r>
              <w:rPr>
                <w:b w:val="0"/>
              </w:rPr>
              <w:t xml:space="preserve"> of permanent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48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8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8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60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85907111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 of temporary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710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2161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221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012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632286029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 of du</w:t>
            </w:r>
            <w:r>
              <w:rPr>
                <w:b w:val="0"/>
              </w:rPr>
              <w:t>al enrollment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62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4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30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00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453141200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2910E3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Pr="002910E3" w:rsidRDefault="00C83D15" w:rsidP="00346CAA">
            <w:pPr>
              <w:rPr>
                <w:b w:val="0"/>
              </w:rPr>
            </w:pPr>
            <w:r w:rsidRPr="002910E3">
              <w:rPr>
                <w:b w:val="0"/>
              </w:rPr>
              <w:t xml:space="preserve">Other (specify): </w:t>
            </w:r>
            <w:sdt>
              <w:sdtPr>
                <w:id w:val="635150991"/>
                <w:showingPlcHdr/>
              </w:sdtPr>
              <w:sdtEndPr/>
              <w:sdtContent>
                <w:r w:rsidRPr="002910E3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233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2910E3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58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641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2910E3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231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754593461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Pr="002910E3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910E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FC40BA" w:rsidRDefault="00FC40BA" w:rsidP="00346CAA">
      <w:pPr>
        <w:ind w:left="576"/>
      </w:pPr>
    </w:p>
    <w:p w:rsidR="002910E3" w:rsidRPr="00CE42E3" w:rsidRDefault="002910E3" w:rsidP="00D23363">
      <w:pPr>
        <w:rPr>
          <w:b/>
        </w:rPr>
      </w:pPr>
      <w:r w:rsidRPr="00CE42E3">
        <w:rPr>
          <w:b/>
        </w:rPr>
        <w:t xml:space="preserve">Provide any additional comments regarding </w:t>
      </w:r>
      <w:r>
        <w:rPr>
          <w:b/>
        </w:rPr>
        <w:t>faculty policies</w:t>
      </w:r>
      <w:r w:rsidRPr="00CE42E3">
        <w:rPr>
          <w:b/>
        </w:rPr>
        <w:t xml:space="preserve">. </w:t>
      </w:r>
    </w:p>
    <w:p w:rsidR="002910E3" w:rsidRPr="00E81004" w:rsidRDefault="002910E3">
      <w:pPr>
        <w:ind w:left="360"/>
        <w:rPr>
          <w:rFonts w:eastAsia="Times"/>
        </w:rPr>
      </w:pPr>
    </w:p>
    <w:p w:rsidR="002910E3" w:rsidRPr="00100CFF" w:rsidRDefault="00302C81" w:rsidP="00D23363">
      <w:pPr>
        <w:rPr>
          <w:rFonts w:eastAsia="Times"/>
        </w:rPr>
      </w:pPr>
      <w:sdt>
        <w:sdtPr>
          <w:rPr>
            <w:rFonts w:eastAsia="Times"/>
          </w:rPr>
          <w:id w:val="-2142171941"/>
          <w:showingPlcHdr/>
        </w:sdtPr>
        <w:sdtEndPr/>
        <w:sdtContent>
          <w:r w:rsidR="002910E3" w:rsidRPr="00E81004">
            <w:rPr>
              <w:rStyle w:val="PlaceholderText"/>
              <w:highlight w:val="yellow"/>
            </w:rPr>
            <w:t>Click here to enter text.</w:t>
          </w:r>
        </w:sdtContent>
      </w:sdt>
    </w:p>
    <w:p w:rsidR="001140E4" w:rsidRDefault="001140E4">
      <w:pPr>
        <w:jc w:val="right"/>
      </w:pPr>
      <w:bookmarkStart w:id="18" w:name="_Toc320611678"/>
      <w:bookmarkStart w:id="19" w:name="SecIIC"/>
    </w:p>
    <w:p w:rsidR="00716835" w:rsidRDefault="00716835">
      <w:pPr>
        <w:jc w:val="right"/>
        <w:sectPr w:rsidR="00716835" w:rsidSect="0057236E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CF490E" w:rsidRDefault="00CF490E">
      <w:pPr>
        <w:pStyle w:val="ACSbrandheading4"/>
      </w:pPr>
      <w:bookmarkStart w:id="20" w:name="_Toc320611679"/>
      <w:bookmarkStart w:id="21" w:name="_Toc436987765"/>
      <w:bookmarkStart w:id="22" w:name="SecIID"/>
      <w:bookmarkEnd w:id="18"/>
      <w:bookmarkEnd w:id="19"/>
      <w:r>
        <w:lastRenderedPageBreak/>
        <w:t xml:space="preserve">D. </w:t>
      </w:r>
      <w:r w:rsidR="007E0121" w:rsidRPr="0003545A">
        <w:t xml:space="preserve">Program </w:t>
      </w:r>
      <w:r w:rsidR="00865751" w:rsidRPr="0003545A">
        <w:t>budget</w:t>
      </w:r>
      <w:bookmarkEnd w:id="20"/>
      <w:bookmarkEnd w:id="21"/>
      <w:r w:rsidR="00865751" w:rsidRPr="0003545A">
        <w:t xml:space="preserve"> </w:t>
      </w:r>
    </w:p>
    <w:bookmarkEnd w:id="22"/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3-4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B20442" w:rsidRDefault="005F21E4">
      <w:pPr>
        <w:rPr>
          <w:b/>
        </w:rPr>
      </w:pPr>
      <w:r>
        <w:rPr>
          <w:b/>
        </w:rPr>
        <w:t>Indicate whether there is adequate funding to support the following, as they relate to chemistry-based education at your institution</w:t>
      </w:r>
      <w:r w:rsidR="00100CFF">
        <w:rPr>
          <w:b/>
        </w:rPr>
        <w:t>, and whether the costs associated with them are expected to increase faster than inflation</w:t>
      </w:r>
      <w:r>
        <w:rPr>
          <w:b/>
        </w:rPr>
        <w:t xml:space="preserve">. </w:t>
      </w:r>
    </w:p>
    <w:p w:rsidR="002167BF" w:rsidRPr="00FC40BA" w:rsidRDefault="002167BF">
      <w:pPr>
        <w:rPr>
          <w:b/>
        </w:rPr>
      </w:pPr>
    </w:p>
    <w:tbl>
      <w:tblPr>
        <w:tblStyle w:val="LightShading"/>
        <w:tblW w:w="9475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260"/>
        <w:gridCol w:w="2070"/>
        <w:gridCol w:w="3265"/>
      </w:tblGrid>
      <w:tr w:rsidR="00100CFF" w:rsidRPr="0041559B" w:rsidTr="0010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2910E3" w:rsidRPr="0041559B" w:rsidRDefault="002910E3"/>
        </w:tc>
        <w:tc>
          <w:tcPr>
            <w:tcW w:w="1260" w:type="dxa"/>
            <w:shd w:val="clear" w:color="auto" w:fill="auto"/>
            <w:vAlign w:val="center"/>
          </w:tcPr>
          <w:p w:rsidR="002910E3" w:rsidRPr="0041559B" w:rsidRDefault="006C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</w:t>
            </w:r>
            <w:r w:rsidR="002910E3">
              <w:rPr>
                <w:i/>
              </w:rPr>
              <w:t>unding adequate?</w:t>
            </w:r>
          </w:p>
        </w:tc>
        <w:tc>
          <w:tcPr>
            <w:tcW w:w="2070" w:type="dxa"/>
            <w:vAlign w:val="center"/>
          </w:tcPr>
          <w:p w:rsidR="002910E3" w:rsidRDefault="00291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Future needs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910E3" w:rsidRPr="0041559B" w:rsidRDefault="00291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Comments</w:t>
            </w:r>
          </w:p>
        </w:tc>
      </w:tr>
      <w:tr w:rsidR="001D6FBB" w:rsidRPr="00321292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310184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Salary &amp; benefits for all chemistry-based faculty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730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08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963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881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147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330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86585721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310184">
              <w:rPr>
                <w:b w:val="0"/>
              </w:rPr>
              <w:t>dministrative support servi</w:t>
            </w:r>
            <w:r>
              <w:rPr>
                <w:b w:val="0"/>
              </w:rPr>
              <w:t xml:space="preserve">ces, </w:t>
            </w:r>
            <w:r w:rsidRPr="00310184">
              <w:rPr>
                <w:b w:val="0"/>
              </w:rPr>
              <w:t>stockroom operation</w:t>
            </w:r>
            <w:r>
              <w:rPr>
                <w:b w:val="0"/>
              </w:rPr>
              <w:t>, and grant assistance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897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546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50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290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6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781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9234470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lastRenderedPageBreak/>
              <w:t>Faculty</w:t>
            </w:r>
            <w:r w:rsidRPr="00AA3ED1">
              <w:rPr>
                <w:b w:val="0"/>
              </w:rPr>
              <w:t xml:space="preserve"> professional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32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71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50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17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77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660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75120198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F</w:t>
            </w:r>
            <w:r w:rsidRPr="00AA3ED1">
              <w:rPr>
                <w:b w:val="0"/>
              </w:rPr>
              <w:t>aculty-</w:t>
            </w:r>
            <w:r>
              <w:rPr>
                <w:b w:val="0"/>
              </w:rPr>
              <w:t>led</w:t>
            </w:r>
            <w:r w:rsidRPr="00AA3ED1">
              <w:rPr>
                <w:b w:val="0"/>
              </w:rPr>
              <w:t xml:space="preserve"> research</w:t>
            </w:r>
            <w:r>
              <w:rPr>
                <w:b w:val="0"/>
              </w:rPr>
              <w:t>,</w:t>
            </w:r>
            <w:r w:rsidRPr="00AA3ED1">
              <w:rPr>
                <w:b w:val="0"/>
              </w:rPr>
              <w:t xml:space="preserve"> as appropriate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64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49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492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52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59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039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23160152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Chemicals</w:t>
            </w:r>
            <w:r w:rsidR="00E173FC">
              <w:rPr>
                <w:b w:val="0"/>
              </w:rPr>
              <w:t xml:space="preserve"> and </w:t>
            </w:r>
            <w:r>
              <w:rPr>
                <w:b w:val="0"/>
              </w:rPr>
              <w:t>storage supplies,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355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124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98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84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522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763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69630151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Chemical safety and waste management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65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034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17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48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018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47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6909393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E0524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="001D6FBB">
              <w:rPr>
                <w:b w:val="0"/>
              </w:rPr>
              <w:t>quipment acquisition and</w:t>
            </w:r>
            <w:r w:rsidR="001D6FBB" w:rsidRPr="00AA3ED1">
              <w:rPr>
                <w:b w:val="0"/>
              </w:rPr>
              <w:t xml:space="preserve"> long-term maintenance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841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62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968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74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60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96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2743947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C771E" w:rsidRPr="00E81E14" w:rsidTr="006C771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6C771E" w:rsidRPr="00983726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C</w:t>
            </w:r>
            <w:r w:rsidRPr="00AA3ED1">
              <w:rPr>
                <w:b w:val="0"/>
              </w:rPr>
              <w:t>hemical information resources</w:t>
            </w:r>
            <w:r>
              <w:rPr>
                <w:b w:val="0"/>
              </w:rPr>
              <w:t xml:space="preserve"> (e.g., journals, databases, references, etc.)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771E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01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Yes</w:t>
            </w:r>
          </w:p>
          <w:p w:rsidR="006C771E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71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No</w:t>
            </w:r>
          </w:p>
          <w:p w:rsidR="006C771E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34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N/A</w:t>
            </w:r>
          </w:p>
        </w:tc>
        <w:tc>
          <w:tcPr>
            <w:tcW w:w="2070" w:type="dxa"/>
            <w:vAlign w:val="center"/>
          </w:tcPr>
          <w:p w:rsidR="006C771E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50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Increasing</w:t>
            </w:r>
          </w:p>
          <w:p w:rsidR="006C771E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394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Decreasing</w:t>
            </w:r>
          </w:p>
          <w:p w:rsidR="006C771E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19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C771E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14752192"/>
                <w:showingPlcHdr/>
              </w:sdtPr>
              <w:sdtEndPr/>
              <w:sdtContent>
                <w:r w:rsidR="006C771E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Student support s</w:t>
            </w:r>
            <w:r w:rsidR="00E173FC">
              <w:rPr>
                <w:b w:val="0"/>
              </w:rPr>
              <w:t>ervices</w:t>
            </w:r>
            <w:r w:rsidR="009D5AFE">
              <w:rPr>
                <w:b w:val="0"/>
              </w:rPr>
              <w:t>, including advising and mentoring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028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170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60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207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067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840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6009142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AA3ED1" w:rsidTr="00100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AA3ED1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 xml:space="preserve">Other </w:t>
            </w:r>
            <w:r w:rsidR="006C771E">
              <w:rPr>
                <w:b w:val="0"/>
              </w:rPr>
              <w:t xml:space="preserve">relevant </w:t>
            </w:r>
            <w:r>
              <w:rPr>
                <w:b w:val="0"/>
              </w:rPr>
              <w:t xml:space="preserve">costs  (specify): </w:t>
            </w:r>
            <w:sdt>
              <w:sdtPr>
                <w:id w:val="-738093446"/>
                <w:showingPlcHdr/>
              </w:sdtPr>
              <w:sdtEndPr/>
              <w:sdtContent>
                <w:r w:rsidRPr="00321292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649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72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49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829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4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880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302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4344396"/>
                <w:showingPlcHdr/>
              </w:sdtPr>
              <w:sdtEndPr/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FE1AEC" w:rsidRDefault="00FE1AEC" w:rsidP="00346CAA">
      <w:pPr>
        <w:ind w:left="576"/>
        <w:rPr>
          <w:b/>
        </w:rPr>
      </w:pPr>
    </w:p>
    <w:p w:rsidR="00100CFF" w:rsidRDefault="00100CFF">
      <w:pPr>
        <w:rPr>
          <w:b/>
        </w:rPr>
      </w:pPr>
      <w:r>
        <w:rPr>
          <w:b/>
        </w:rPr>
        <w:t>Will funding for chemistry-based education at your institution keep pace with the expected changes? In not, what plans are in place to mitigate any shortfalls?</w:t>
      </w:r>
    </w:p>
    <w:sdt>
      <w:sdtPr>
        <w:rPr>
          <w:b/>
        </w:rPr>
        <w:id w:val="-477604681"/>
        <w:showingPlcHdr/>
      </w:sdtPr>
      <w:sdtEndPr/>
      <w:sdtContent>
        <w:p w:rsidR="00B20442" w:rsidRPr="00B20442" w:rsidRDefault="00B20442">
          <w:pPr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B20442" w:rsidRDefault="00B20442"/>
    <w:p w:rsidR="007E0121" w:rsidRPr="00003BA8" w:rsidRDefault="000879FC">
      <w:pPr>
        <w:rPr>
          <w:b/>
        </w:rPr>
      </w:pPr>
      <w:r w:rsidRPr="00003BA8">
        <w:rPr>
          <w:b/>
        </w:rPr>
        <w:t>What</w:t>
      </w:r>
      <w:r w:rsidR="007E0121" w:rsidRPr="00003BA8">
        <w:rPr>
          <w:b/>
        </w:rPr>
        <w:t xml:space="preserve"> </w:t>
      </w:r>
      <w:r w:rsidR="009D5AFE">
        <w:rPr>
          <w:b/>
        </w:rPr>
        <w:t>other</w:t>
      </w:r>
      <w:r w:rsidR="009D5AFE" w:rsidRPr="00003BA8">
        <w:rPr>
          <w:b/>
        </w:rPr>
        <w:t xml:space="preserve"> </w:t>
      </w:r>
      <w:r w:rsidR="007E0121" w:rsidRPr="00003BA8">
        <w:rPr>
          <w:b/>
        </w:rPr>
        <w:t>factors significantly affect the budget?</w:t>
      </w:r>
    </w:p>
    <w:sdt>
      <w:sdtPr>
        <w:rPr>
          <w:b/>
        </w:rPr>
        <w:id w:val="-1628779548"/>
        <w:showingPlcHdr/>
      </w:sdtPr>
      <w:sdtEndPr/>
      <w:sdtContent>
        <w:p w:rsidR="00B20442" w:rsidRPr="00B20442" w:rsidRDefault="00B20442" w:rsidP="0057236E">
          <w:pPr>
            <w:pStyle w:val="ListParagraph"/>
            <w:spacing w:after="0"/>
            <w:ind w:left="0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716835" w:rsidRDefault="00716835" w:rsidP="00211001">
      <w:pPr>
        <w:pStyle w:val="ACSbrandheading4"/>
      </w:pPr>
      <w:bookmarkStart w:id="23" w:name="_Toc436987766"/>
      <w:bookmarkStart w:id="24" w:name="_Toc320611680"/>
      <w:bookmarkStart w:id="25" w:name="SecIIE"/>
    </w:p>
    <w:p w:rsidR="00716835" w:rsidRDefault="00716835" w:rsidP="00211001">
      <w:pPr>
        <w:pStyle w:val="ACSbrandheading4"/>
      </w:pPr>
    </w:p>
    <w:p w:rsidR="00211001" w:rsidRPr="0003545A" w:rsidDel="00BA35B4" w:rsidRDefault="00B93D61" w:rsidP="00211001">
      <w:pPr>
        <w:pStyle w:val="ACSbrandheading4"/>
      </w:pPr>
      <w:r>
        <w:t>E</w:t>
      </w:r>
      <w:r w:rsidR="00211001">
        <w:t>. Student support services</w:t>
      </w:r>
      <w:bookmarkEnd w:id="23"/>
    </w:p>
    <w:p w:rsidR="00211001" w:rsidRPr="00A05D02" w:rsidRDefault="00211001" w:rsidP="00211001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14-15</w:t>
      </w:r>
      <w:r w:rsidRPr="00A05D02">
        <w:rPr>
          <w:b w:val="0"/>
          <w:i w:val="0"/>
        </w:rPr>
        <w:t>.)</w:t>
      </w:r>
    </w:p>
    <w:p w:rsidR="00211001" w:rsidRDefault="00211001" w:rsidP="00211001"/>
    <w:p w:rsidR="00211001" w:rsidRPr="008820ED" w:rsidRDefault="00211001" w:rsidP="00211001">
      <w:pPr>
        <w:pStyle w:val="ListParagraph"/>
        <w:spacing w:after="0"/>
        <w:ind w:left="0"/>
      </w:pPr>
      <w:r>
        <w:rPr>
          <w:b/>
        </w:rPr>
        <w:t>Indicate the availability and effectiveness of the following resources on your campus</w:t>
      </w:r>
      <w:r w:rsidRPr="00C41A03">
        <w:rPr>
          <w:b/>
        </w:rPr>
        <w:t xml:space="preserve">. </w:t>
      </w:r>
    </w:p>
    <w:tbl>
      <w:tblPr>
        <w:tblStyle w:val="LightShading"/>
        <w:tblW w:w="9630" w:type="dxa"/>
        <w:tblInd w:w="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070"/>
        <w:gridCol w:w="2160"/>
      </w:tblGrid>
      <w:tr w:rsidR="00211001" w:rsidRPr="0041559B" w:rsidTr="0021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41559B" w:rsidRDefault="00211001" w:rsidP="00211001"/>
        </w:tc>
        <w:tc>
          <w:tcPr>
            <w:tcW w:w="2070" w:type="dxa"/>
            <w:shd w:val="clear" w:color="auto" w:fill="auto"/>
          </w:tcPr>
          <w:p w:rsidR="00211001" w:rsidRPr="0041559B" w:rsidRDefault="00211001" w:rsidP="002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Availability</w:t>
            </w:r>
          </w:p>
        </w:tc>
        <w:tc>
          <w:tcPr>
            <w:tcW w:w="2160" w:type="dxa"/>
            <w:shd w:val="clear" w:color="auto" w:fill="auto"/>
          </w:tcPr>
          <w:p w:rsidR="00211001" w:rsidRPr="00794CE1" w:rsidRDefault="00211001" w:rsidP="002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i/>
              </w:rPr>
              <w:t>Effectiveness</w:t>
            </w:r>
          </w:p>
        </w:tc>
      </w:tr>
      <w:tr w:rsidR="00211001" w:rsidRPr="00E81E14" w:rsidTr="0021100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dvising staff who specialize in helping students with career and transfer plans and any associated resources.</w:t>
            </w:r>
          </w:p>
        </w:tc>
        <w:sdt>
          <w:sdtPr>
            <w:id w:val="-617831738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12955825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B93D6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>
              <w:rPr>
                <w:i/>
              </w:rPr>
              <w:t>Briefly describe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-1286724557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Discipline-specific advising staff</w:t>
            </w:r>
            <w:r w:rsidRPr="009E0524">
              <w:rPr>
                <w:b w:val="0"/>
              </w:rPr>
              <w:t xml:space="preserve"> who specialize in helping students with career and transfer plans and any associated resources.</w:t>
            </w:r>
          </w:p>
        </w:tc>
        <w:sdt>
          <w:sdtPr>
            <w:id w:val="7499723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46373309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cademic and personal support for students with physical, communication, learning and other disabilities.</w:t>
            </w:r>
          </w:p>
        </w:tc>
        <w:sdt>
          <w:sdtPr>
            <w:id w:val="-1348797522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8250587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794CE1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Pr="00794CE1" w:rsidRDefault="00211001" w:rsidP="00211001">
            <w:r w:rsidRPr="00CD7B5A">
              <w:rPr>
                <w:i/>
              </w:rPr>
              <w:lastRenderedPageBreak/>
              <w:t>Briefly describe:</w:t>
            </w:r>
            <w:r w:rsidRPr="00CD7B5A">
              <w:t xml:space="preserve"> </w:t>
            </w:r>
            <w:sdt>
              <w:sdtPr>
                <w:id w:val="-1705863180"/>
                <w:showingPlcHdr/>
              </w:sdtPr>
              <w:sdtEndPr/>
              <w:sdtContent>
                <w:r w:rsidRPr="00CD7B5A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  <w:vAlign w:val="center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lastRenderedPageBreak/>
              <w:t>A</w:t>
            </w:r>
            <w:r w:rsidRPr="009E0524">
              <w:rPr>
                <w:b w:val="0"/>
              </w:rPr>
              <w:t>dvising staff who specialize in helping students with career and transfer plans and any associated resources.</w:t>
            </w:r>
          </w:p>
        </w:tc>
        <w:sdt>
          <w:sdtPr>
            <w:id w:val="975729105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2898822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>
              <w:rPr>
                <w:i/>
              </w:rPr>
              <w:t>Briefly describe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1004630346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cademic and personal support for students with physical, communication, learning and other disabilities.</w:t>
            </w:r>
          </w:p>
        </w:tc>
        <w:sdt>
          <w:sdtPr>
            <w:id w:val="668763007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7559319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794CE1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Pr="00794CE1" w:rsidRDefault="00211001" w:rsidP="00211001">
            <w:r w:rsidRPr="00CD7B5A">
              <w:rPr>
                <w:i/>
              </w:rPr>
              <w:t>Briefly describe:</w:t>
            </w:r>
            <w:r w:rsidRPr="00CD7B5A">
              <w:t xml:space="preserve"> </w:t>
            </w:r>
            <w:sdt>
              <w:sdtPr>
                <w:id w:val="-921111592"/>
                <w:showingPlcHdr/>
              </w:sdtPr>
              <w:sdtEndPr/>
              <w:sdtContent>
                <w:r w:rsidRPr="00CD7B5A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Pr="009E0524">
              <w:rPr>
                <w:b w:val="0"/>
              </w:rPr>
              <w:t>utorial services for students to improve their study skills and become more effective learners.</w:t>
            </w:r>
          </w:p>
        </w:tc>
        <w:sdt>
          <w:sdtPr>
            <w:id w:val="1513485227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0937928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775B8B">
              <w:rPr>
                <w:i/>
              </w:rPr>
              <w:t>Briefly describe:</w:t>
            </w:r>
            <w:r w:rsidRPr="00775B8B">
              <w:t xml:space="preserve"> </w:t>
            </w:r>
            <w:sdt>
              <w:sdtPr>
                <w:id w:val="-1795279168"/>
                <w:showingPlcHdr/>
              </w:sdtPr>
              <w:sdtEndPr/>
              <w:sdtContent>
                <w:r w:rsidRPr="00775B8B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Pr="009E0524">
              <w:rPr>
                <w:b w:val="0"/>
              </w:rPr>
              <w:t>pen and reliable access to technology, such as computers.</w:t>
            </w:r>
          </w:p>
        </w:tc>
        <w:sdt>
          <w:sdtPr>
            <w:id w:val="760645622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0224731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6B745E">
              <w:rPr>
                <w:i/>
              </w:rPr>
              <w:t>Briefly describe:</w:t>
            </w:r>
            <w:r w:rsidRPr="006B745E">
              <w:t xml:space="preserve"> </w:t>
            </w:r>
            <w:sdt>
              <w:sdtPr>
                <w:id w:val="-503133867"/>
                <w:showingPlcHdr/>
              </w:sdtPr>
              <w:sdtEndPr/>
              <w:sdtContent>
                <w:r w:rsidRPr="006B745E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9E0524">
              <w:rPr>
                <w:b w:val="0"/>
              </w:rPr>
              <w:t>rograms and organizations to support and engage targeted communities of students, such as student clubs.</w:t>
            </w:r>
          </w:p>
        </w:tc>
        <w:sdt>
          <w:sdtPr>
            <w:id w:val="-732461033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9349988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DC111D">
              <w:rPr>
                <w:i/>
              </w:rPr>
              <w:t>Briefly describe:</w:t>
            </w:r>
            <w:r w:rsidRPr="00DC111D">
              <w:t xml:space="preserve"> </w:t>
            </w:r>
            <w:sdt>
              <w:sdtPr>
                <w:id w:val="-1959785565"/>
                <w:showingPlcHdr/>
              </w:sdtPr>
              <w:sdtEndPr/>
              <w:sdtContent>
                <w:r w:rsidRPr="00DC111D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9E0524">
              <w:rPr>
                <w:b w:val="0"/>
              </w:rPr>
              <w:t>rograms that increase the participation of underrepresented groups.</w:t>
            </w:r>
          </w:p>
        </w:tc>
        <w:sdt>
          <w:sdtPr>
            <w:id w:val="1202677864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1730274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750605">
              <w:rPr>
                <w:i/>
              </w:rPr>
              <w:t>Briefly describe:</w:t>
            </w:r>
            <w:r w:rsidRPr="00750605">
              <w:t xml:space="preserve"> </w:t>
            </w:r>
            <w:sdt>
              <w:sdtPr>
                <w:id w:val="-61792882"/>
                <w:showingPlcHdr/>
              </w:sdtPr>
              <w:sdtEndPr/>
              <w:sdtContent>
                <w:r w:rsidRPr="0075060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ssistance for students in acquiring financial aid.</w:t>
            </w:r>
          </w:p>
        </w:tc>
        <w:sdt>
          <w:sdtPr>
            <w:id w:val="1924906506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4371433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914CA5">
              <w:rPr>
                <w:i/>
              </w:rPr>
              <w:t>Briefly describe:</w:t>
            </w:r>
            <w:r w:rsidRPr="00914CA5">
              <w:t xml:space="preserve"> </w:t>
            </w:r>
            <w:sdt>
              <w:sdtPr>
                <w:id w:val="2138288512"/>
                <w:showingPlcHdr/>
              </w:sdtPr>
              <w:sdtEndPr/>
              <w:sdtContent>
                <w:r w:rsidRPr="00914CA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Other student support services (specify below)</w:t>
            </w:r>
          </w:p>
        </w:tc>
        <w:sdt>
          <w:sdtPr>
            <w:id w:val="-579213339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EndPr/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88835100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EndPr/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914CA5">
              <w:rPr>
                <w:i/>
              </w:rPr>
              <w:t>Briefly describe:</w:t>
            </w:r>
            <w:r w:rsidRPr="00914CA5">
              <w:t xml:space="preserve"> </w:t>
            </w:r>
            <w:sdt>
              <w:sdtPr>
                <w:id w:val="197597869"/>
                <w:showingPlcHdr/>
              </w:sdtPr>
              <w:sdtEndPr/>
              <w:sdtContent>
                <w:r w:rsidRPr="00914CA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211001" w:rsidRDefault="00211001" w:rsidP="00211001">
      <w:pPr>
        <w:ind w:left="576"/>
      </w:pPr>
    </w:p>
    <w:p w:rsidR="00716835" w:rsidRDefault="00716835" w:rsidP="00211001">
      <w:pPr>
        <w:pStyle w:val="ACSbrandheading4"/>
        <w:rPr>
          <w:rFonts w:ascii="Arial" w:hAnsi="Arial"/>
          <w:b/>
          <w:sz w:val="20"/>
        </w:rPr>
      </w:pPr>
      <w:bookmarkStart w:id="26" w:name="_Toc436987767"/>
    </w:p>
    <w:p w:rsidR="00716835" w:rsidRDefault="00716835" w:rsidP="00211001">
      <w:pPr>
        <w:pStyle w:val="ACSbrandheading4"/>
        <w:rPr>
          <w:rFonts w:ascii="Arial" w:hAnsi="Arial"/>
          <w:b/>
          <w:sz w:val="20"/>
        </w:rPr>
      </w:pPr>
    </w:p>
    <w:p w:rsidR="00211001" w:rsidRPr="0003545A" w:rsidDel="00BA35B4" w:rsidRDefault="00B93D61" w:rsidP="00211001">
      <w:pPr>
        <w:pStyle w:val="ACSbrandheading4"/>
      </w:pPr>
      <w:r>
        <w:rPr>
          <w:rFonts w:ascii="Arial" w:hAnsi="Arial"/>
          <w:b/>
          <w:sz w:val="20"/>
        </w:rPr>
        <w:t>F</w:t>
      </w:r>
      <w:r w:rsidR="00211001">
        <w:t>. Student outcome support</w:t>
      </w:r>
      <w:bookmarkEnd w:id="26"/>
      <w:r w:rsidR="00211001">
        <w:t xml:space="preserve"> </w:t>
      </w:r>
    </w:p>
    <w:p w:rsidR="00211001" w:rsidRPr="00A05D02" w:rsidRDefault="00211001" w:rsidP="00211001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 xml:space="preserve">(See Section 4.7 </w:t>
      </w:r>
      <w:r w:rsidRPr="00A05D02">
        <w:rPr>
          <w:b w:val="0"/>
          <w:i w:val="0"/>
        </w:rPr>
        <w:t xml:space="preserve">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</w:t>
      </w:r>
      <w:r w:rsidRPr="00A05D02">
        <w:rPr>
          <w:b w:val="0"/>
          <w:i w:val="0"/>
        </w:rPr>
        <w:t>.)</w:t>
      </w:r>
    </w:p>
    <w:p w:rsidR="00211001" w:rsidRPr="004E170E" w:rsidRDefault="00211001" w:rsidP="00211001"/>
    <w:p w:rsidR="00211001" w:rsidRDefault="00211001" w:rsidP="00211001">
      <w:pPr>
        <w:rPr>
          <w:b/>
        </w:rPr>
      </w:pPr>
      <w:r>
        <w:rPr>
          <w:b/>
        </w:rPr>
        <w:t>Provide the following information regarding student transfer, graduate placement, and support for allied programs.</w:t>
      </w:r>
      <w:r w:rsidRPr="00CA260F">
        <w:t xml:space="preserve"> </w:t>
      </w: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90"/>
        <w:gridCol w:w="1980"/>
        <w:gridCol w:w="720"/>
        <w:gridCol w:w="3240"/>
      </w:tblGrid>
      <w:tr w:rsidR="00211001" w:rsidRPr="0039233B" w:rsidTr="00211001">
        <w:tc>
          <w:tcPr>
            <w:tcW w:w="5580" w:type="dxa"/>
            <w:gridSpan w:val="3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Student t</w:t>
            </w:r>
            <w:r w:rsidRPr="0039233B">
              <w:rPr>
                <w:b/>
                <w:i/>
              </w:rPr>
              <w:t xml:space="preserve">ransfer </w:t>
            </w:r>
            <w:r>
              <w:rPr>
                <w:b/>
                <w:i/>
              </w:rPr>
              <w:t>support</w:t>
            </w:r>
          </w:p>
        </w:tc>
        <w:tc>
          <w:tcPr>
            <w:tcW w:w="396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their counterparts at </w:t>
            </w:r>
            <w:r>
              <w:t>the</w:t>
            </w:r>
            <w:r w:rsidRPr="0039233B">
              <w:t xml:space="preserve"> institutions</w:t>
            </w:r>
            <w:r>
              <w:t xml:space="preserve"> to which chemistry students most frequently transfer?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-516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20094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496021466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the chemistry curriculum on your campus aligned, in content and rigor, with that of the receiving institutions?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-14425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13343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788243422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Does the chemistry or chemistry-based technology curriculum articulate to receiving institutions?</w:t>
            </w:r>
          </w:p>
        </w:tc>
        <w:tc>
          <w:tcPr>
            <w:tcW w:w="3960" w:type="dxa"/>
            <w:gridSpan w:val="2"/>
            <w:vAlign w:val="center"/>
          </w:tcPr>
          <w:p w:rsidR="00211001" w:rsidRDefault="00302C81" w:rsidP="00211001">
            <w:sdt>
              <w:sdtPr>
                <w:id w:val="-3600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  <w:r w:rsidR="00211001">
              <w:t>, the complete curriculum transfers</w:t>
            </w:r>
          </w:p>
          <w:p w:rsidR="00211001" w:rsidRDefault="00302C81" w:rsidP="00211001">
            <w:sdt>
              <w:sdtPr>
                <w:id w:val="-16826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Yes, specific courses transfer</w:t>
            </w:r>
          </w:p>
          <w:p w:rsidR="00211001" w:rsidRDefault="00302C81" w:rsidP="00211001">
            <w:sdt>
              <w:sdtPr>
                <w:id w:val="-129467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Credits transfer but not as chemistry courses</w:t>
            </w:r>
          </w:p>
          <w:p w:rsidR="00211001" w:rsidRPr="0039233B" w:rsidRDefault="00302C81" w:rsidP="00211001">
            <w:sdt>
              <w:sdtPr>
                <w:id w:val="10624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lastRenderedPageBreak/>
              <w:t>Comments:</w:t>
            </w:r>
            <w:r w:rsidRPr="0039233B">
              <w:t xml:space="preserve"> </w:t>
            </w:r>
            <w:sdt>
              <w:sdtPr>
                <w:id w:val="1468396085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lastRenderedPageBreak/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student transfer issues?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14044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-2613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160348936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rPr>
          <w:trHeight w:val="420"/>
        </w:trPr>
        <w:tc>
          <w:tcPr>
            <w:tcW w:w="9540" w:type="dxa"/>
            <w:gridSpan w:val="5"/>
            <w:tcBorders>
              <w:bottom w:val="nil"/>
            </w:tcBorders>
            <w:vAlign w:val="center"/>
          </w:tcPr>
          <w:p w:rsidR="00211001" w:rsidRPr="0039233B" w:rsidRDefault="00211001" w:rsidP="00211001">
            <w:r>
              <w:t>Which of the following resources are available to prepare students for the changes inherent in transfer?</w:t>
            </w:r>
          </w:p>
        </w:tc>
      </w:tr>
      <w:tr w:rsidR="00211001" w:rsidRPr="0039233B" w:rsidTr="00211001">
        <w:trPr>
          <w:trHeight w:val="1197"/>
        </w:trPr>
        <w:tc>
          <w:tcPr>
            <w:tcW w:w="3600" w:type="dxa"/>
            <w:gridSpan w:val="2"/>
            <w:tcBorders>
              <w:top w:val="nil"/>
            </w:tcBorders>
          </w:tcPr>
          <w:p w:rsidR="00211001" w:rsidRDefault="00302C81" w:rsidP="00211001">
            <w:sdt>
              <w:sdtPr>
                <w:id w:val="-2675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Transfer-specific orientation workshops </w:t>
            </w:r>
          </w:p>
          <w:p w:rsidR="00211001" w:rsidRDefault="00302C81" w:rsidP="00211001">
            <w:sdt>
              <w:sdtPr>
                <w:id w:val="19227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Bridge classes</w:t>
            </w:r>
          </w:p>
          <w:p w:rsidR="00211001" w:rsidRDefault="00302C81" w:rsidP="00211001">
            <w:sdt>
              <w:sdtPr>
                <w:id w:val="-74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Transfer success courses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211001" w:rsidRDefault="00302C81" w:rsidP="00211001">
            <w:sdt>
              <w:sdtPr>
                <w:id w:val="-8590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Peer mentoring</w:t>
            </w:r>
          </w:p>
          <w:p w:rsidR="00211001" w:rsidRDefault="00302C81" w:rsidP="00211001">
            <w:sdt>
              <w:sdtPr>
                <w:id w:val="12203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Leadership retreats </w:t>
            </w:r>
          </w:p>
          <w:p w:rsidR="00211001" w:rsidRDefault="00302C81" w:rsidP="00211001">
            <w:sdt>
              <w:sdtPr>
                <w:id w:val="-14352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Field trips</w:t>
            </w:r>
          </w:p>
          <w:p w:rsidR="00211001" w:rsidRDefault="00302C81" w:rsidP="00211001">
            <w:sdt>
              <w:sdtPr>
                <w:id w:val="15168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Student clubs</w:t>
            </w:r>
          </w:p>
        </w:tc>
        <w:tc>
          <w:tcPr>
            <w:tcW w:w="3240" w:type="dxa"/>
            <w:tcBorders>
              <w:top w:val="nil"/>
            </w:tcBorders>
          </w:tcPr>
          <w:p w:rsidR="00211001" w:rsidRDefault="00302C81" w:rsidP="00211001">
            <w:sdt>
              <w:sdtPr>
                <w:id w:val="-18358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</w:t>
            </w:r>
            <w:r w:rsidR="00211001" w:rsidRPr="00A82A76">
              <w:t>ACS student chapters</w:t>
            </w:r>
          </w:p>
          <w:p w:rsidR="00211001" w:rsidRDefault="00302C81" w:rsidP="00211001">
            <w:sdt>
              <w:sdtPr>
                <w:id w:val="14454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No transfer resources available</w:t>
            </w:r>
          </w:p>
          <w:p w:rsidR="00211001" w:rsidRDefault="00302C81" w:rsidP="00211001">
            <w:sdt>
              <w:sdtPr>
                <w:id w:val="-6789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Other (specify): </w:t>
            </w:r>
            <w:sdt>
              <w:sdtPr>
                <w:id w:val="-1965335391"/>
                <w:showingPlcHdr/>
              </w:sdtPr>
              <w:sdtEndPr/>
              <w:sdtContent>
                <w:r w:rsidR="00211001" w:rsidRPr="00A82A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610" w:type="dxa"/>
            <w:vAlign w:val="center"/>
          </w:tcPr>
          <w:p w:rsidR="00211001" w:rsidRPr="00912729" w:rsidRDefault="00211001" w:rsidP="00211001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  <w:sdt>
          <w:sdtPr>
            <w:id w:val="-604196664"/>
            <w:showingPlcHdr/>
          </w:sdtPr>
          <w:sdtEndPr/>
          <w:sdtContent>
            <w:tc>
              <w:tcPr>
                <w:tcW w:w="6930" w:type="dxa"/>
                <w:gridSpan w:val="4"/>
                <w:vAlign w:val="center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rPr>
          <w:b/>
        </w:rPr>
      </w:pP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900"/>
        <w:gridCol w:w="1980"/>
        <w:gridCol w:w="720"/>
        <w:gridCol w:w="3240"/>
      </w:tblGrid>
      <w:tr w:rsidR="00211001" w:rsidRPr="0039233B" w:rsidTr="00211001">
        <w:tc>
          <w:tcPr>
            <w:tcW w:w="5580" w:type="dxa"/>
            <w:gridSpan w:val="3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Graduate employment support</w:t>
            </w:r>
          </w:p>
        </w:tc>
        <w:tc>
          <w:tcPr>
            <w:tcW w:w="396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</w:t>
            </w:r>
            <w:r>
              <w:t>hiring managers at the organizations that most frequently hire your graduates?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9823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15661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062789863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the chemistry curriculum on your campus aligned with the needs of the hiring managers?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-20425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19843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561132184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 xml:space="preserve">Do these employers require chemistry graduates from your campus to undergo additional training in chemistry knowledge or practices upon hiring?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-9143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7644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019845620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graduate placement issues?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302C81" w:rsidP="00211001">
            <w:sdt>
              <w:sdtPr>
                <w:id w:val="17784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4227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814531639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rPr>
          <w:trHeight w:val="420"/>
        </w:trPr>
        <w:tc>
          <w:tcPr>
            <w:tcW w:w="9540" w:type="dxa"/>
            <w:gridSpan w:val="5"/>
            <w:tcBorders>
              <w:bottom w:val="nil"/>
            </w:tcBorders>
            <w:vAlign w:val="center"/>
          </w:tcPr>
          <w:p w:rsidR="00211001" w:rsidRPr="0039233B" w:rsidRDefault="00211001" w:rsidP="00211001">
            <w:r>
              <w:t>Which of the following resources are available to prepare students for the workplace?</w:t>
            </w:r>
          </w:p>
        </w:tc>
      </w:tr>
      <w:tr w:rsidR="00211001" w:rsidRPr="0039233B" w:rsidTr="00211001">
        <w:trPr>
          <w:trHeight w:val="1197"/>
        </w:trPr>
        <w:tc>
          <w:tcPr>
            <w:tcW w:w="3600" w:type="dxa"/>
            <w:gridSpan w:val="2"/>
            <w:tcBorders>
              <w:top w:val="nil"/>
            </w:tcBorders>
          </w:tcPr>
          <w:p w:rsidR="00211001" w:rsidRDefault="00302C81" w:rsidP="00211001">
            <w:sdt>
              <w:sdtPr>
                <w:id w:val="-797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Internships or cooperative learning</w:t>
            </w:r>
          </w:p>
          <w:p w:rsidR="00211001" w:rsidRDefault="00302C81" w:rsidP="00211001">
            <w:sdt>
              <w:sdtPr>
                <w:id w:val="-1954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Job shadowing</w:t>
            </w:r>
          </w:p>
          <w:p w:rsidR="00211001" w:rsidRDefault="00302C81" w:rsidP="00211001">
            <w:sdt>
              <w:sdtPr>
                <w:id w:val="4515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Career preparation seminars or workshops 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211001" w:rsidRDefault="00302C81" w:rsidP="00211001">
            <w:sdt>
              <w:sdtPr>
                <w:id w:val="-11696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Guest speakers</w:t>
            </w:r>
          </w:p>
          <w:p w:rsidR="00211001" w:rsidRDefault="00302C81" w:rsidP="00211001">
            <w:sdt>
              <w:sdtPr>
                <w:id w:val="-5587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Laboratory tours</w:t>
            </w:r>
          </w:p>
          <w:p w:rsidR="00211001" w:rsidRDefault="00302C81" w:rsidP="00211001">
            <w:sdt>
              <w:sdtPr>
                <w:id w:val="-465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</w:t>
            </w:r>
            <w:r w:rsidR="00211001" w:rsidRPr="00A82A76">
              <w:t>ACS student chapters</w:t>
            </w:r>
          </w:p>
        </w:tc>
        <w:tc>
          <w:tcPr>
            <w:tcW w:w="3240" w:type="dxa"/>
            <w:tcBorders>
              <w:top w:val="nil"/>
            </w:tcBorders>
          </w:tcPr>
          <w:p w:rsidR="00211001" w:rsidRDefault="00302C81" w:rsidP="00211001">
            <w:sdt>
              <w:sdtPr>
                <w:id w:val="11641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No employment resources available</w:t>
            </w:r>
          </w:p>
          <w:p w:rsidR="00211001" w:rsidRDefault="00302C81" w:rsidP="00211001">
            <w:sdt>
              <w:sdtPr>
                <w:id w:val="4733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Other (specify): </w:t>
            </w:r>
            <w:sdt>
              <w:sdtPr>
                <w:id w:val="-636648328"/>
                <w:showingPlcHdr/>
              </w:sdtPr>
              <w:sdtEndPr/>
              <w:sdtContent>
                <w:r w:rsidR="00211001" w:rsidRPr="00A82A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700" w:type="dxa"/>
            <w:vAlign w:val="center"/>
          </w:tcPr>
          <w:p w:rsidR="00211001" w:rsidRPr="00912729" w:rsidRDefault="00211001" w:rsidP="00211001">
            <w:pPr>
              <w:rPr>
                <w:b/>
              </w:rPr>
            </w:pPr>
            <w:r w:rsidRPr="00912729">
              <w:rPr>
                <w:b/>
              </w:rPr>
              <w:t>Additional comments</w:t>
            </w:r>
          </w:p>
        </w:tc>
        <w:sdt>
          <w:sdtPr>
            <w:id w:val="1226727967"/>
            <w:showingPlcHdr/>
          </w:sdtPr>
          <w:sdtEndPr/>
          <w:sdtContent>
            <w:tc>
              <w:tcPr>
                <w:tcW w:w="6840" w:type="dxa"/>
                <w:gridSpan w:val="4"/>
                <w:vAlign w:val="center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rPr>
          <w:b/>
        </w:rPr>
      </w:pP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3960"/>
      </w:tblGrid>
      <w:tr w:rsidR="00211001" w:rsidRPr="0039233B" w:rsidTr="00211001">
        <w:tc>
          <w:tcPr>
            <w:tcW w:w="558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Allied program support</w:t>
            </w:r>
          </w:p>
        </w:tc>
        <w:tc>
          <w:tcPr>
            <w:tcW w:w="3960" w:type="dxa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their counterparts </w:t>
            </w:r>
            <w:r>
              <w:t>in the on-campus programs that most frequently require chemistry?</w:t>
            </w:r>
          </w:p>
        </w:tc>
        <w:tc>
          <w:tcPr>
            <w:tcW w:w="3960" w:type="dxa"/>
            <w:vAlign w:val="center"/>
          </w:tcPr>
          <w:p w:rsidR="00211001" w:rsidRPr="0039233B" w:rsidRDefault="00302C81" w:rsidP="00211001">
            <w:sdt>
              <w:sdtPr>
                <w:id w:val="-19429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3474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247887809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>
              <w:t>Is the chemistry curriculum on your campus aligned, in content and rigor, with the needs of these programs?</w:t>
            </w:r>
          </w:p>
        </w:tc>
        <w:tc>
          <w:tcPr>
            <w:tcW w:w="3960" w:type="dxa"/>
            <w:vAlign w:val="center"/>
          </w:tcPr>
          <w:p w:rsidR="00211001" w:rsidRPr="0039233B" w:rsidRDefault="00302C81" w:rsidP="00211001">
            <w:sdt>
              <w:sdtPr>
                <w:id w:val="8674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-16426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524623945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student success in these programs? </w:t>
            </w:r>
          </w:p>
        </w:tc>
        <w:tc>
          <w:tcPr>
            <w:tcW w:w="3960" w:type="dxa"/>
            <w:vAlign w:val="center"/>
          </w:tcPr>
          <w:p w:rsidR="00211001" w:rsidRPr="0039233B" w:rsidRDefault="00302C81" w:rsidP="00211001">
            <w:sdt>
              <w:sdtPr>
                <w:id w:val="14111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302C81" w:rsidP="00211001">
            <w:sdt>
              <w:sdtPr>
                <w:id w:val="-9648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200281699"/>
                <w:showingPlcHdr/>
              </w:sdtPr>
              <w:sdtEndPr/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700" w:type="dxa"/>
          </w:tcPr>
          <w:p w:rsidR="00211001" w:rsidRPr="00912729" w:rsidRDefault="00211001" w:rsidP="00211001">
            <w:pPr>
              <w:rPr>
                <w:b/>
              </w:rPr>
            </w:pPr>
            <w:r w:rsidRPr="00912729">
              <w:rPr>
                <w:b/>
              </w:rPr>
              <w:t>Additional comments</w:t>
            </w:r>
          </w:p>
        </w:tc>
        <w:sdt>
          <w:sdtPr>
            <w:id w:val="-1152362732"/>
            <w:showingPlcHdr/>
          </w:sdtPr>
          <w:sdtEndPr/>
          <w:sdtContent>
            <w:tc>
              <w:tcPr>
                <w:tcW w:w="6840" w:type="dxa"/>
                <w:gridSpan w:val="2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pStyle w:val="ACSbrandheading3"/>
      </w:pPr>
    </w:p>
    <w:bookmarkEnd w:id="24"/>
    <w:bookmarkEnd w:id="25"/>
    <w:sectPr w:rsidR="00211001" w:rsidSect="0057236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0A" w:rsidRDefault="00493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302C81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302C81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302C81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302C81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302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302C81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Pr="003F579D">
      <w:t>II. Institutional Environment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302C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302C81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302C81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9D" w:rsidRDefault="00302C81" w:rsidP="003F579D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left:0;text-align:left;margin-left:0;margin-top:0;width:565.5pt;height:94.2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3F579D">
      <w:t>ACS Assessment Tool</w:t>
    </w:r>
  </w:p>
  <w:p w:rsidR="003F579D" w:rsidRDefault="003F579D" w:rsidP="003F579D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Pr="003F579D">
      <w:t>II. Institutional Environment</w:t>
    </w:r>
  </w:p>
  <w:p w:rsidR="003F579D" w:rsidRDefault="003F579D" w:rsidP="003F579D">
    <w:pPr>
      <w:pStyle w:val="ACSbrandheading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302C81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Programs, 2016 edition</w:t>
    </w:r>
  </w:p>
  <w:p w:rsidR="00B93D61" w:rsidRDefault="00302C81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cr02RCRlENhRe6JxZXBynSFf2Q=" w:salt="iqVuD4SBgxBvOumpYjsz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2C81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B6274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350A"/>
    <w:rsid w:val="00497004"/>
    <w:rsid w:val="004A1861"/>
    <w:rsid w:val="004A3BA9"/>
    <w:rsid w:val="004B0E24"/>
    <w:rsid w:val="004B0F6A"/>
    <w:rsid w:val="004B3D93"/>
    <w:rsid w:val="004B3EB1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928C-9223-4DEB-856D-F440987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1955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13201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9</cp:revision>
  <cp:lastPrinted>2015-12-03T18:46:00Z</cp:lastPrinted>
  <dcterms:created xsi:type="dcterms:W3CDTF">2015-12-04T19:53:00Z</dcterms:created>
  <dcterms:modified xsi:type="dcterms:W3CDTF">2016-12-16T14:25:00Z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