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E7F" w14:textId="77777777" w:rsidR="00CB1945" w:rsidRPr="00D71BEC" w:rsidRDefault="00CB1945" w:rsidP="00D71BEC">
      <w:pPr>
        <w:pStyle w:val="Heading1"/>
        <w:spacing w:before="0" w:after="120" w:line="240" w:lineRule="auto"/>
        <w:ind w:left="-360"/>
        <w:rPr>
          <w:sz w:val="28"/>
          <w:szCs w:val="28"/>
        </w:rPr>
      </w:pPr>
      <w:bookmarkStart w:id="0" w:name="_GoBack"/>
      <w:r w:rsidRPr="00D71BEC">
        <w:rPr>
          <w:sz w:val="28"/>
          <w:szCs w:val="28"/>
        </w:rPr>
        <w:t>Approach to establishing chemical safety levels</w:t>
      </w:r>
    </w:p>
    <w:bookmarkEnd w:id="0"/>
    <w:p w14:paraId="3DA8118F" w14:textId="581B94CB" w:rsidR="00FF00A0" w:rsidRPr="00FF00A0" w:rsidRDefault="00FF00A0" w:rsidP="00FF00A0">
      <w:pPr>
        <w:spacing w:after="120" w:line="240" w:lineRule="auto"/>
        <w:ind w:left="-360"/>
        <w:rPr>
          <w:rFonts w:asciiTheme="minorHAnsi" w:hAnsiTheme="minorHAnsi"/>
          <w:sz w:val="20"/>
        </w:rPr>
      </w:pPr>
      <w:r w:rsidRPr="00FF00A0">
        <w:rPr>
          <w:rFonts w:asciiTheme="minorHAnsi" w:hAnsiTheme="minorHAnsi"/>
          <w:szCs w:val="24"/>
        </w:rPr>
        <w:t>Table 8-1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pproach to establishing chemical safety levels"/>
        <w:tblDescription w:val="Table 8-1. Control Banding"/>
      </w:tblPr>
      <w:tblGrid>
        <w:gridCol w:w="1980"/>
        <w:gridCol w:w="1800"/>
        <w:gridCol w:w="1800"/>
        <w:gridCol w:w="1800"/>
        <w:gridCol w:w="2700"/>
      </w:tblGrid>
      <w:tr w:rsidR="00F177EF" w:rsidRPr="004E1BAF" w14:paraId="11A090F3" w14:textId="77777777" w:rsidTr="00F177EF">
        <w:trPr>
          <w:cantSplit/>
          <w:trHeight w:val="117"/>
          <w:tblHeader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BFBFBF"/>
          </w:tcPr>
          <w:p w14:paraId="0DA2DE6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b/>
                <w:caps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>Descriptor or Control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0B02BE"/>
          </w:tcPr>
          <w:p w14:paraId="3C3BAF39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>Chemical Safety Level 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14:paraId="58BDFD50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>CHemical Safety Level 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0BABDD94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>chemical safety Level 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5B601F60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>chemical safety Level 4</w:t>
            </w:r>
          </w:p>
        </w:tc>
      </w:tr>
      <w:tr w:rsidR="00F177EF" w:rsidRPr="004E1BAF" w14:paraId="0EFBD4A5" w14:textId="77777777" w:rsidTr="00F177EF">
        <w:trPr>
          <w:cantSplit/>
          <w:trHeight w:val="117"/>
          <w:tblHeader/>
        </w:trPr>
        <w:tc>
          <w:tcPr>
            <w:tcW w:w="1980" w:type="dxa"/>
            <w:shd w:val="clear" w:color="auto" w:fill="C6D9F1"/>
          </w:tcPr>
          <w:p w14:paraId="57E5836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Scope of Assessment Possibilities</w:t>
            </w:r>
          </w:p>
        </w:tc>
        <w:tc>
          <w:tcPr>
            <w:tcW w:w="1800" w:type="dxa"/>
            <w:vMerge/>
            <w:shd w:val="clear" w:color="auto" w:fill="0B02BE"/>
          </w:tcPr>
          <w:p w14:paraId="1AEF116A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shd w:val="clear" w:color="auto" w:fill="00B050"/>
          </w:tcPr>
          <w:p w14:paraId="607BC0CF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shd w:val="clear" w:color="auto" w:fill="FFFF00"/>
          </w:tcPr>
          <w:p w14:paraId="06A0B2F9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700" w:type="dxa"/>
            <w:vMerge/>
            <w:shd w:val="clear" w:color="auto" w:fill="FF0000"/>
          </w:tcPr>
          <w:p w14:paraId="5DFEB1E7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177EF" w:rsidRPr="004E1BAF" w14:paraId="738C5023" w14:textId="77777777" w:rsidTr="00F177EF">
        <w:trPr>
          <w:cantSplit/>
          <w:trHeight w:val="63"/>
          <w:tblHeader/>
        </w:trPr>
        <w:tc>
          <w:tcPr>
            <w:tcW w:w="1980" w:type="dxa"/>
            <w:shd w:val="clear" w:color="auto" w:fill="E5DFEC"/>
          </w:tcPr>
          <w:p w14:paraId="6E197CB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Driving Consideration</w:t>
            </w:r>
          </w:p>
        </w:tc>
        <w:tc>
          <w:tcPr>
            <w:tcW w:w="1800" w:type="dxa"/>
            <w:vMerge/>
            <w:shd w:val="clear" w:color="auto" w:fill="0B02BE"/>
          </w:tcPr>
          <w:p w14:paraId="62D2F403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shd w:val="clear" w:color="auto" w:fill="00B050"/>
          </w:tcPr>
          <w:p w14:paraId="51E80E73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shd w:val="clear" w:color="auto" w:fill="FFFF00"/>
          </w:tcPr>
          <w:p w14:paraId="4E7F392E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700" w:type="dxa"/>
            <w:vMerge/>
            <w:shd w:val="clear" w:color="auto" w:fill="FF0000"/>
          </w:tcPr>
          <w:p w14:paraId="01C166AB" w14:textId="77777777" w:rsidR="00F177EF" w:rsidRPr="004E1BAF" w:rsidRDefault="00F177EF" w:rsidP="006C4C4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F177EF" w:rsidRPr="004E1BAF" w14:paraId="1151427C" w14:textId="77777777" w:rsidTr="00F177EF">
        <w:trPr>
          <w:cantSplit/>
          <w:trHeight w:val="427"/>
        </w:trPr>
        <w:tc>
          <w:tcPr>
            <w:tcW w:w="1980" w:type="dxa"/>
            <w:shd w:val="clear" w:color="auto" w:fill="BFBFBF"/>
          </w:tcPr>
          <w:p w14:paraId="68EB3A6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Conceptual Hazard Level </w:t>
            </w:r>
            <w:r w:rsidRPr="004E1BAF">
              <w:rPr>
                <w:rFonts w:ascii="Cambria" w:hAnsi="Cambria"/>
                <w:i/>
                <w:caps/>
                <w:sz w:val="20"/>
              </w:rPr>
              <w:t>(</w:t>
            </w:r>
            <w:r w:rsidRPr="004E1BAF">
              <w:rPr>
                <w:rFonts w:ascii="Cambria" w:hAnsi="Cambria"/>
                <w:i/>
                <w:sz w:val="20"/>
              </w:rPr>
              <w:t>overview of risk level)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32BD97C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Laboratory hazards equivalent to typical household use of chemicals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44324A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Laboratory hazards equivalent to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academic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 lab settings (restricted hazardous chemical inventory; well-established procedures in place)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EE1831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Moderate or varying laboratory hazards within a narrow range (open hazardous chemical inventory; evolving procedures)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C6DF4B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Novel hazards or severe established hazards (high hazard chemicals or processes with well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established procedures)</w:t>
            </w:r>
          </w:p>
        </w:tc>
      </w:tr>
      <w:tr w:rsidR="00F177EF" w:rsidRPr="004E1BAF" w14:paraId="7BD0EA5C" w14:textId="77777777" w:rsidTr="00F177EF">
        <w:trPr>
          <w:cantSplit/>
          <w:trHeight w:val="427"/>
        </w:trPr>
        <w:tc>
          <w:tcPr>
            <w:tcW w:w="1980" w:type="dxa"/>
            <w:shd w:val="clear" w:color="auto" w:fill="C6D9F1"/>
          </w:tcPr>
          <w:p w14:paraId="75703F2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Flexible</w:t>
            </w:r>
          </w:p>
        </w:tc>
        <w:tc>
          <w:tcPr>
            <w:tcW w:w="1800" w:type="dxa"/>
            <w:vMerge/>
            <w:shd w:val="clear" w:color="auto" w:fill="auto"/>
          </w:tcPr>
          <w:p w14:paraId="6E33862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9AF191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D61FF0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381F64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41BCAC3C" w14:textId="77777777" w:rsidTr="00F177EF">
        <w:trPr>
          <w:cantSplit/>
          <w:trHeight w:val="427"/>
        </w:trPr>
        <w:tc>
          <w:tcPr>
            <w:tcW w:w="1980" w:type="dxa"/>
            <w:shd w:val="clear" w:color="auto" w:fill="E5DFEC"/>
          </w:tcPr>
          <w:p w14:paraId="18BBC7F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Context Dependent</w:t>
            </w:r>
          </w:p>
        </w:tc>
        <w:tc>
          <w:tcPr>
            <w:tcW w:w="1800" w:type="dxa"/>
            <w:vMerge/>
            <w:shd w:val="clear" w:color="auto" w:fill="auto"/>
          </w:tcPr>
          <w:p w14:paraId="76F2B14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788089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8BEAFB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668136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57461EBD" w14:textId="77777777" w:rsidTr="00F177EF">
        <w:trPr>
          <w:cantSplit/>
          <w:trHeight w:val="533"/>
        </w:trPr>
        <w:tc>
          <w:tcPr>
            <w:tcW w:w="1980" w:type="dxa"/>
            <w:shd w:val="clear" w:color="auto" w:fill="BFBFBF"/>
          </w:tcPr>
          <w:p w14:paraId="7E28498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  <w:szCs w:val="20"/>
              </w:rPr>
              <w:t xml:space="preserve">Chemicals Used </w:t>
            </w:r>
            <w:r w:rsidRPr="004E1BAF">
              <w:rPr>
                <w:rFonts w:ascii="Cambria" w:hAnsi="Cambria"/>
                <w:i/>
                <w:sz w:val="20"/>
                <w:szCs w:val="20"/>
              </w:rPr>
              <w:t>(types or characteristics of chemicals used)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A99575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Consumer products in consumer packaging; may receive but not open chemical packages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7B8B7B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Low concentration acids/bases, lower alcohols, solid salts, simple asphyxiant compressed gases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46BCA4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Typical chemical inventory for a research lab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,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such as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flammable solvents, corrosives, inorganic salts, toxics, flammable gases. Limited amounts (mg quantities) of air or water reactive, pyrophoric materials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63C02D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Air/water reactive, pyrophoric materials or pyrophoric gases.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Explosives or potentially explosive compounds, highly toxic materials (in any state of matter)</w:t>
            </w:r>
          </w:p>
        </w:tc>
      </w:tr>
      <w:tr w:rsidR="00F177EF" w:rsidRPr="004E1BAF" w14:paraId="78A3FD8D" w14:textId="77777777" w:rsidTr="00F177EF">
        <w:trPr>
          <w:cantSplit/>
          <w:trHeight w:val="533"/>
        </w:trPr>
        <w:tc>
          <w:tcPr>
            <w:tcW w:w="1980" w:type="dxa"/>
            <w:shd w:val="clear" w:color="auto" w:fill="C6D9F1"/>
          </w:tcPr>
          <w:p w14:paraId="381625A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Lab Room</w:t>
            </w:r>
          </w:p>
        </w:tc>
        <w:tc>
          <w:tcPr>
            <w:tcW w:w="1800" w:type="dxa"/>
            <w:vMerge/>
            <w:shd w:val="clear" w:color="auto" w:fill="auto"/>
          </w:tcPr>
          <w:p w14:paraId="44B0691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BB776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8DFCC0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CA247A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2EE48E20" w14:textId="77777777" w:rsidTr="00F177EF">
        <w:trPr>
          <w:cantSplit/>
          <w:trHeight w:val="998"/>
        </w:trPr>
        <w:tc>
          <w:tcPr>
            <w:tcW w:w="1980" w:type="dxa"/>
            <w:shd w:val="clear" w:color="auto" w:fill="E5DFEC"/>
          </w:tcPr>
          <w:p w14:paraId="4642FE7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None 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4E1BAF">
              <w:rPr>
                <w:rFonts w:ascii="Cambria" w:hAnsi="Cambria"/>
                <w:sz w:val="18"/>
                <w:szCs w:val="18"/>
              </w:rPr>
              <w:t>dentified</w:t>
            </w:r>
          </w:p>
        </w:tc>
        <w:tc>
          <w:tcPr>
            <w:tcW w:w="1800" w:type="dxa"/>
            <w:vMerge/>
            <w:shd w:val="clear" w:color="auto" w:fill="auto"/>
          </w:tcPr>
          <w:p w14:paraId="1327DE0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B7DE6D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80CE12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12761E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05DCCF46" w14:textId="77777777" w:rsidTr="00F177EF">
        <w:trPr>
          <w:cantSplit/>
          <w:trHeight w:val="328"/>
        </w:trPr>
        <w:tc>
          <w:tcPr>
            <w:tcW w:w="1980" w:type="dxa"/>
            <w:shd w:val="clear" w:color="auto" w:fill="BFBFBF"/>
          </w:tcPr>
          <w:p w14:paraId="112D30F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Training Requirements </w:t>
            </w:r>
            <w:r w:rsidRPr="004E1BAF">
              <w:rPr>
                <w:rFonts w:ascii="Cambria" w:hAnsi="Cambria"/>
                <w:i/>
                <w:sz w:val="20"/>
              </w:rPr>
              <w:t>(prerequisite for people working in the lab)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DBCA80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Observe label and warning signs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9862F9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General lab safety training in addition to warning labels and signs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BDD808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Laboratory hazards require laboratory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 specific safety training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B98F43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Laboratory access restricted to people accompanied by experienced personnel</w:t>
            </w:r>
          </w:p>
        </w:tc>
      </w:tr>
      <w:tr w:rsidR="00F177EF" w:rsidRPr="004E1BAF" w14:paraId="3ABA5491" w14:textId="77777777" w:rsidTr="00F177EF">
        <w:trPr>
          <w:cantSplit/>
          <w:trHeight w:val="326"/>
        </w:trPr>
        <w:tc>
          <w:tcPr>
            <w:tcW w:w="1980" w:type="dxa"/>
            <w:shd w:val="clear" w:color="auto" w:fill="C6D9F1"/>
          </w:tcPr>
          <w:p w14:paraId="0308713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Lab </w:t>
            </w:r>
            <w:r>
              <w:rPr>
                <w:rFonts w:ascii="Cambria" w:hAnsi="Cambria"/>
                <w:sz w:val="18"/>
                <w:szCs w:val="18"/>
              </w:rPr>
              <w:t>G</w:t>
            </w:r>
            <w:r w:rsidRPr="004E1BAF">
              <w:rPr>
                <w:rFonts w:ascii="Cambria" w:hAnsi="Cambria"/>
                <w:sz w:val="18"/>
                <w:szCs w:val="18"/>
              </w:rPr>
              <w:t>roup</w:t>
            </w:r>
          </w:p>
        </w:tc>
        <w:tc>
          <w:tcPr>
            <w:tcW w:w="1800" w:type="dxa"/>
            <w:vMerge/>
            <w:shd w:val="clear" w:color="auto" w:fill="auto"/>
          </w:tcPr>
          <w:p w14:paraId="75ED35E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83AE69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6AC4A3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AA86F1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F177EF" w:rsidRPr="004E1BAF" w14:paraId="39A3A5CB" w14:textId="77777777" w:rsidTr="00F177EF">
        <w:trPr>
          <w:cantSplit/>
          <w:trHeight w:val="326"/>
        </w:trPr>
        <w:tc>
          <w:tcPr>
            <w:tcW w:w="1980" w:type="dxa"/>
            <w:shd w:val="clear" w:color="auto" w:fill="E5DFEC"/>
          </w:tcPr>
          <w:p w14:paraId="194B13A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Based on </w:t>
            </w:r>
            <w:r>
              <w:rPr>
                <w:rFonts w:ascii="Cambria" w:hAnsi="Cambria"/>
                <w:sz w:val="18"/>
                <w:szCs w:val="18"/>
              </w:rPr>
              <w:t>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ighest </w:t>
            </w:r>
            <w:r>
              <w:rPr>
                <w:rFonts w:ascii="Cambria" w:hAnsi="Cambria"/>
                <w:sz w:val="18"/>
                <w:szCs w:val="18"/>
              </w:rPr>
              <w:t>L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ab </w:t>
            </w:r>
            <w:r>
              <w:rPr>
                <w:rFonts w:ascii="Cambria" w:hAnsi="Cambria"/>
                <w:sz w:val="18"/>
                <w:szCs w:val="18"/>
              </w:rPr>
              <w:t>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azard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ating</w:t>
            </w:r>
          </w:p>
        </w:tc>
        <w:tc>
          <w:tcPr>
            <w:tcW w:w="1800" w:type="dxa"/>
            <w:vMerge/>
            <w:shd w:val="clear" w:color="auto" w:fill="auto"/>
          </w:tcPr>
          <w:p w14:paraId="703D7A0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17F5DA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E37790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129BF7C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F177EF" w:rsidRPr="004E1BAF" w14:paraId="5E875FBB" w14:textId="77777777" w:rsidTr="00F177EF">
        <w:trPr>
          <w:cantSplit/>
          <w:trHeight w:val="266"/>
        </w:trPr>
        <w:tc>
          <w:tcPr>
            <w:tcW w:w="1980" w:type="dxa"/>
            <w:shd w:val="clear" w:color="auto" w:fill="BFBFBF"/>
          </w:tcPr>
          <w:p w14:paraId="561C1F3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Supervision Requirements </w:t>
            </w:r>
            <w:r w:rsidRPr="004E1BAF">
              <w:rPr>
                <w:rFonts w:ascii="Cambria" w:hAnsi="Cambria"/>
                <w:i/>
                <w:sz w:val="20"/>
              </w:rPr>
              <w:t>(safety responsibilities of lab leader(s))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FE78DF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Awareness of work being conducted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13D89D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Constant supervision or working alone based on specific restrictions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0DE639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Peer presence or working alone based on specific restrictions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1E9F40D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Peer presence</w:t>
            </w:r>
          </w:p>
        </w:tc>
      </w:tr>
      <w:tr w:rsidR="00F177EF" w:rsidRPr="004E1BAF" w14:paraId="3B42C54D" w14:textId="77777777" w:rsidTr="00F177EF">
        <w:trPr>
          <w:cantSplit/>
          <w:trHeight w:val="264"/>
        </w:trPr>
        <w:tc>
          <w:tcPr>
            <w:tcW w:w="1980" w:type="dxa"/>
            <w:shd w:val="clear" w:color="auto" w:fill="C6D9F1"/>
          </w:tcPr>
          <w:p w14:paraId="0A706AC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Lab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oom</w:t>
            </w:r>
          </w:p>
        </w:tc>
        <w:tc>
          <w:tcPr>
            <w:tcW w:w="1800" w:type="dxa"/>
            <w:vMerge/>
            <w:shd w:val="clear" w:color="auto" w:fill="auto"/>
          </w:tcPr>
          <w:p w14:paraId="15BDA9C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8268AA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9A15F2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ECCA0D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7D8F6BE5" w14:textId="77777777" w:rsidTr="00F177EF">
        <w:trPr>
          <w:cantSplit/>
          <w:trHeight w:val="264"/>
        </w:trPr>
        <w:tc>
          <w:tcPr>
            <w:tcW w:w="1980" w:type="dxa"/>
            <w:shd w:val="clear" w:color="auto" w:fill="E5DFEC"/>
          </w:tcPr>
          <w:p w14:paraId="0B97DE3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Based on </w:t>
            </w:r>
            <w:r>
              <w:rPr>
                <w:rFonts w:ascii="Cambria" w:hAnsi="Cambria"/>
                <w:sz w:val="18"/>
                <w:szCs w:val="18"/>
              </w:rPr>
              <w:t>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ighest 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ctive </w:t>
            </w:r>
            <w:r>
              <w:rPr>
                <w:rFonts w:ascii="Cambria" w:hAnsi="Cambria"/>
                <w:sz w:val="18"/>
                <w:szCs w:val="18"/>
              </w:rPr>
              <w:t>L</w:t>
            </w:r>
            <w:r w:rsidRPr="004E1BAF">
              <w:rPr>
                <w:rFonts w:ascii="Cambria" w:hAnsi="Cambria"/>
                <w:sz w:val="18"/>
                <w:szCs w:val="18"/>
              </w:rPr>
              <w:t>ab</w:t>
            </w:r>
            <w:r>
              <w:rPr>
                <w:rFonts w:ascii="Cambria" w:hAnsi="Cambria"/>
                <w:sz w:val="18"/>
                <w:szCs w:val="18"/>
              </w:rPr>
              <w:t xml:space="preserve"> 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azard </w:t>
            </w:r>
            <w:r>
              <w:rPr>
                <w:rFonts w:ascii="Cambria" w:hAnsi="Cambria"/>
                <w:sz w:val="18"/>
                <w:szCs w:val="18"/>
              </w:rPr>
              <w:t>P</w:t>
            </w:r>
            <w:r w:rsidRPr="004E1BAF">
              <w:rPr>
                <w:rFonts w:ascii="Cambria" w:hAnsi="Cambria"/>
                <w:sz w:val="18"/>
                <w:szCs w:val="18"/>
              </w:rPr>
              <w:t>rocess</w:t>
            </w:r>
          </w:p>
        </w:tc>
        <w:tc>
          <w:tcPr>
            <w:tcW w:w="1800" w:type="dxa"/>
            <w:vMerge/>
            <w:shd w:val="clear" w:color="auto" w:fill="auto"/>
          </w:tcPr>
          <w:p w14:paraId="5C33884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00693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AD0E66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B24CB1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61BB4E67" w14:textId="77777777" w:rsidTr="00F177EF">
        <w:trPr>
          <w:cantSplit/>
          <w:trHeight w:val="427"/>
        </w:trPr>
        <w:tc>
          <w:tcPr>
            <w:tcW w:w="1980" w:type="dxa"/>
            <w:shd w:val="clear" w:color="auto" w:fill="BFBFBF"/>
          </w:tcPr>
          <w:p w14:paraId="022B21D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Oversight Requirements </w:t>
            </w:r>
            <w:r w:rsidRPr="004E1BAF">
              <w:rPr>
                <w:rFonts w:ascii="Cambria" w:hAnsi="Cambria"/>
                <w:i/>
                <w:sz w:val="20"/>
              </w:rPr>
              <w:t>(expectations for institutional review of lab operations)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BBEBD8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Weekly self-inspections;</w:t>
            </w:r>
          </w:p>
          <w:p w14:paraId="6F79BE4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self-audits three times per year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C84CF2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Weekly self-inspections;</w:t>
            </w:r>
          </w:p>
          <w:p w14:paraId="7E0B073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self-audits three times per year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820CE35" w14:textId="77777777" w:rsidR="00F177E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Weekly self-inspections;</w:t>
            </w:r>
          </w:p>
          <w:p w14:paraId="6D93793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self-audits three times per year;</w:t>
            </w:r>
          </w:p>
          <w:p w14:paraId="4D9EAC3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***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monthly drop </w:t>
            </w:r>
            <w:proofErr w:type="spellStart"/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bys</w:t>
            </w:r>
            <w:proofErr w:type="spellEnd"/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; </w:t>
            </w:r>
            <w:r w:rsidRPr="004204A9">
              <w:rPr>
                <w:rFonts w:ascii="Cambria" w:hAnsi="Cambria"/>
                <w:color w:val="000000"/>
                <w:sz w:val="18"/>
                <w:szCs w:val="18"/>
              </w:rPr>
              <w:t>†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risk-based institutional review schedule 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B40B309" w14:textId="77777777" w:rsidR="00F177E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Daily self-inspections;</w:t>
            </w:r>
          </w:p>
          <w:p w14:paraId="5C2134F0" w14:textId="77777777" w:rsidR="00F177E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self-audits three times per year;</w:t>
            </w:r>
          </w:p>
          <w:p w14:paraId="00F8BEC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***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monthly drop </w:t>
            </w:r>
            <w:proofErr w:type="spellStart"/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bys</w:t>
            </w:r>
            <w:proofErr w:type="spellEnd"/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;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204A9">
              <w:rPr>
                <w:rFonts w:ascii="Cambria" w:hAnsi="Cambria"/>
                <w:color w:val="000000"/>
                <w:sz w:val="18"/>
                <w:szCs w:val="18"/>
              </w:rPr>
              <w:t>†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risk-based institutional review schedule</w:t>
            </w:r>
          </w:p>
        </w:tc>
      </w:tr>
      <w:tr w:rsidR="00F177EF" w:rsidRPr="004E1BAF" w14:paraId="64CAB770" w14:textId="77777777" w:rsidTr="00F177EF">
        <w:trPr>
          <w:cantSplit/>
          <w:trHeight w:val="427"/>
        </w:trPr>
        <w:tc>
          <w:tcPr>
            <w:tcW w:w="1980" w:type="dxa"/>
            <w:shd w:val="clear" w:color="auto" w:fill="C6D9F1"/>
          </w:tcPr>
          <w:p w14:paraId="69BBA02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Lab </w:t>
            </w:r>
            <w:r>
              <w:rPr>
                <w:rFonts w:ascii="Cambria" w:hAnsi="Cambria"/>
                <w:sz w:val="18"/>
                <w:szCs w:val="18"/>
              </w:rPr>
              <w:t>G</w:t>
            </w:r>
            <w:r w:rsidRPr="004E1BAF">
              <w:rPr>
                <w:rFonts w:ascii="Cambria" w:hAnsi="Cambria"/>
                <w:sz w:val="18"/>
                <w:szCs w:val="18"/>
              </w:rPr>
              <w:t>roup</w:t>
            </w:r>
          </w:p>
        </w:tc>
        <w:tc>
          <w:tcPr>
            <w:tcW w:w="1800" w:type="dxa"/>
            <w:vMerge/>
            <w:shd w:val="clear" w:color="auto" w:fill="auto"/>
          </w:tcPr>
          <w:p w14:paraId="5DFC028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FB149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51F39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0FAE90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12D3E29F" w14:textId="77777777" w:rsidTr="00F177EF">
        <w:trPr>
          <w:cantSplit/>
          <w:trHeight w:val="427"/>
        </w:trPr>
        <w:tc>
          <w:tcPr>
            <w:tcW w:w="1980" w:type="dxa"/>
            <w:shd w:val="clear" w:color="auto" w:fill="E5DFEC"/>
          </w:tcPr>
          <w:p w14:paraId="4FEC344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Based on </w:t>
            </w:r>
            <w:r>
              <w:rPr>
                <w:rFonts w:ascii="Cambria" w:hAnsi="Cambria"/>
                <w:sz w:val="18"/>
                <w:szCs w:val="18"/>
              </w:rPr>
              <w:t>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ighest </w:t>
            </w:r>
            <w:r>
              <w:rPr>
                <w:rFonts w:ascii="Cambria" w:hAnsi="Cambria"/>
                <w:sz w:val="18"/>
                <w:szCs w:val="18"/>
              </w:rPr>
              <w:t>L</w:t>
            </w:r>
            <w:r w:rsidRPr="004E1BAF">
              <w:rPr>
                <w:rFonts w:ascii="Cambria" w:hAnsi="Cambria"/>
                <w:sz w:val="18"/>
                <w:szCs w:val="18"/>
              </w:rPr>
              <w:t>ab</w:t>
            </w:r>
            <w:r>
              <w:rPr>
                <w:rFonts w:ascii="Cambria" w:hAnsi="Cambria"/>
                <w:sz w:val="18"/>
                <w:szCs w:val="18"/>
              </w:rPr>
              <w:t xml:space="preserve"> 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azard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ating</w:t>
            </w:r>
          </w:p>
        </w:tc>
        <w:tc>
          <w:tcPr>
            <w:tcW w:w="1800" w:type="dxa"/>
            <w:vMerge/>
            <w:shd w:val="clear" w:color="auto" w:fill="auto"/>
          </w:tcPr>
          <w:p w14:paraId="339F6E6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65B25A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1BF84E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B597B1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6505DD69" w14:textId="77777777" w:rsidTr="00F177EF">
        <w:trPr>
          <w:cantSplit/>
          <w:trHeight w:val="266"/>
        </w:trPr>
        <w:tc>
          <w:tcPr>
            <w:tcW w:w="1980" w:type="dxa"/>
            <w:shd w:val="clear" w:color="auto" w:fill="BFBFBF"/>
          </w:tcPr>
          <w:p w14:paraId="65A9A94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Planning Requirements </w:t>
            </w:r>
            <w:r w:rsidRPr="004E1BAF">
              <w:rPr>
                <w:rFonts w:ascii="Cambria" w:hAnsi="Cambria"/>
                <w:i/>
                <w:sz w:val="20"/>
              </w:rPr>
              <w:t>(specific requirements for planning of work)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8CF04F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Process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specific plans written and the presence of other chemicals prohibited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8FF711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Written procedures including safety protocols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AA18F7C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Written procedures including safety protocols must be peer reviewed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30A810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Written procedures including safety protocols must be reviewed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by supervisor</w:t>
            </w:r>
          </w:p>
        </w:tc>
      </w:tr>
      <w:tr w:rsidR="00F177EF" w:rsidRPr="004E1BAF" w14:paraId="2F0D0232" w14:textId="77777777" w:rsidTr="00F177EF">
        <w:trPr>
          <w:cantSplit/>
          <w:trHeight w:val="264"/>
        </w:trPr>
        <w:tc>
          <w:tcPr>
            <w:tcW w:w="1980" w:type="dxa"/>
            <w:shd w:val="clear" w:color="auto" w:fill="C6D9F1"/>
          </w:tcPr>
          <w:p w14:paraId="2D0BF17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Process 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4E1BAF">
              <w:rPr>
                <w:rFonts w:ascii="Cambria" w:hAnsi="Cambria"/>
                <w:sz w:val="18"/>
                <w:szCs w:val="18"/>
              </w:rPr>
              <w:t>pecific</w:t>
            </w:r>
          </w:p>
        </w:tc>
        <w:tc>
          <w:tcPr>
            <w:tcW w:w="1800" w:type="dxa"/>
            <w:vMerge/>
            <w:shd w:val="clear" w:color="auto" w:fill="auto"/>
          </w:tcPr>
          <w:p w14:paraId="3E3C3B4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BAD7B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5F2D89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06C8A9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0F5B0AEC" w14:textId="77777777" w:rsidTr="00F177EF">
        <w:trPr>
          <w:cantSplit/>
          <w:trHeight w:val="264"/>
        </w:trPr>
        <w:tc>
          <w:tcPr>
            <w:tcW w:w="1980" w:type="dxa"/>
            <w:shd w:val="clear" w:color="auto" w:fill="E5DFEC"/>
          </w:tcPr>
          <w:p w14:paraId="2119F50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lastRenderedPageBreak/>
              <w:t xml:space="preserve">Based on </w:t>
            </w:r>
            <w:r>
              <w:rPr>
                <w:rFonts w:ascii="Cambria" w:hAnsi="Cambria"/>
                <w:sz w:val="18"/>
                <w:szCs w:val="18"/>
              </w:rPr>
              <w:t>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ighest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ated </w:t>
            </w:r>
            <w:r>
              <w:rPr>
                <w:rFonts w:ascii="Cambria" w:hAnsi="Cambria"/>
                <w:sz w:val="18"/>
                <w:szCs w:val="18"/>
              </w:rPr>
              <w:t>C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hemical 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4E1BAF">
              <w:rPr>
                <w:rFonts w:ascii="Cambria" w:hAnsi="Cambria"/>
                <w:sz w:val="18"/>
                <w:szCs w:val="18"/>
              </w:rPr>
              <w:t>nvolved</w:t>
            </w:r>
          </w:p>
        </w:tc>
        <w:tc>
          <w:tcPr>
            <w:tcW w:w="1800" w:type="dxa"/>
            <w:vMerge/>
            <w:shd w:val="clear" w:color="auto" w:fill="auto"/>
          </w:tcPr>
          <w:p w14:paraId="7BD9141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1E458F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361F4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75B947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1754D138" w14:textId="77777777" w:rsidTr="00F177EF">
        <w:trPr>
          <w:cantSplit/>
          <w:trHeight w:val="179"/>
        </w:trPr>
        <w:tc>
          <w:tcPr>
            <w:tcW w:w="1980" w:type="dxa"/>
            <w:shd w:val="clear" w:color="auto" w:fill="BFBFBF"/>
          </w:tcPr>
          <w:p w14:paraId="32BEBF0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General PPE Requirements (eye and skin exposure) </w:t>
            </w:r>
            <w:r w:rsidRPr="004E1BAF">
              <w:rPr>
                <w:rFonts w:ascii="Cambria" w:hAnsi="Cambria"/>
                <w:i/>
                <w:sz w:val="20"/>
              </w:rPr>
              <w:t>(protection requirements to enter the room)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AB41BD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Coverage of legs and feet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A9D7AF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CSL 1 PPE plus eye protection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6846BB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CSL 2 PPE plus lab coat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7124441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CSL 3 plus flame resistant lab coat</w:t>
            </w:r>
          </w:p>
        </w:tc>
      </w:tr>
      <w:tr w:rsidR="00F177EF" w:rsidRPr="004E1BAF" w14:paraId="6FB6762C" w14:textId="77777777" w:rsidTr="00F177EF">
        <w:trPr>
          <w:cantSplit/>
          <w:trHeight w:val="177"/>
        </w:trPr>
        <w:tc>
          <w:tcPr>
            <w:tcW w:w="1980" w:type="dxa"/>
            <w:shd w:val="clear" w:color="auto" w:fill="C6D9F1"/>
          </w:tcPr>
          <w:p w14:paraId="2BEB00E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Lab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oom</w:t>
            </w:r>
          </w:p>
        </w:tc>
        <w:tc>
          <w:tcPr>
            <w:tcW w:w="1800" w:type="dxa"/>
            <w:vMerge/>
            <w:shd w:val="clear" w:color="auto" w:fill="auto"/>
          </w:tcPr>
          <w:p w14:paraId="718F44A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04ADD7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31E193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4BADCD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68220BBD" w14:textId="77777777" w:rsidTr="00F177EF">
        <w:trPr>
          <w:cantSplit/>
          <w:trHeight w:val="177"/>
        </w:trPr>
        <w:tc>
          <w:tcPr>
            <w:tcW w:w="1980" w:type="dxa"/>
            <w:shd w:val="clear" w:color="auto" w:fill="E5DFEC"/>
          </w:tcPr>
          <w:p w14:paraId="45E068E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Primarily </w:t>
            </w:r>
            <w:r>
              <w:rPr>
                <w:rFonts w:ascii="Cambria" w:hAnsi="Cambria"/>
                <w:sz w:val="18"/>
                <w:szCs w:val="18"/>
              </w:rPr>
              <w:t>B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ased on </w:t>
            </w:r>
            <w:r>
              <w:rPr>
                <w:rFonts w:ascii="Cambria" w:hAnsi="Cambria"/>
                <w:sz w:val="18"/>
                <w:szCs w:val="18"/>
              </w:rPr>
              <w:t>P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hysical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atings</w:t>
            </w:r>
          </w:p>
        </w:tc>
        <w:tc>
          <w:tcPr>
            <w:tcW w:w="1800" w:type="dxa"/>
            <w:vMerge/>
            <w:shd w:val="clear" w:color="auto" w:fill="auto"/>
          </w:tcPr>
          <w:p w14:paraId="4D26182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97951A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E3E6A6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B85D3F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24300159" w14:textId="77777777" w:rsidTr="00F177EF">
        <w:trPr>
          <w:cantSplit/>
          <w:trHeight w:val="693"/>
        </w:trPr>
        <w:tc>
          <w:tcPr>
            <w:tcW w:w="1980" w:type="dxa"/>
            <w:shd w:val="clear" w:color="auto" w:fill="BFBFBF"/>
          </w:tcPr>
          <w:p w14:paraId="7D293D6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b/>
                <w:caps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>Specific PPE Requirements (hand and respiratory protection)</w:t>
            </w:r>
            <w:r w:rsidRPr="004E1BAF">
              <w:rPr>
                <w:rFonts w:ascii="Cambria" w:hAnsi="Cambria"/>
                <w:i/>
                <w:sz w:val="20"/>
              </w:rPr>
              <w:t xml:space="preserve"> (protection requirements to conduct work)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225A04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No gloves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882105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Activity-specific gloves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, such as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 thin nitrile, vinyl, or latex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disposable gloves would be typical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0B8D56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Activity-specific gloves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, such as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 thin nitrile, vinyl, or latex disposable gloves would be acceptable for an incidental small quantity splash.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Neoprene or butyl rubber may be needed for immersion in solvents, or similar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situation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DE0CD4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Activity-specific gloves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, such as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 xml:space="preserve"> flame resistant if using pyrophoric liquids, neoprene if using large quantities</w:t>
            </w:r>
          </w:p>
        </w:tc>
      </w:tr>
      <w:tr w:rsidR="00F177EF" w:rsidRPr="004E1BAF" w14:paraId="15ED7E0C" w14:textId="77777777" w:rsidTr="00F177EF">
        <w:trPr>
          <w:cantSplit/>
          <w:trHeight w:val="691"/>
        </w:trPr>
        <w:tc>
          <w:tcPr>
            <w:tcW w:w="1980" w:type="dxa"/>
            <w:shd w:val="clear" w:color="auto" w:fill="C6D9F1"/>
          </w:tcPr>
          <w:p w14:paraId="60B0840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Process 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4E1BAF">
              <w:rPr>
                <w:rFonts w:ascii="Cambria" w:hAnsi="Cambria"/>
                <w:sz w:val="18"/>
                <w:szCs w:val="18"/>
              </w:rPr>
              <w:t>pecific</w:t>
            </w:r>
          </w:p>
        </w:tc>
        <w:tc>
          <w:tcPr>
            <w:tcW w:w="1800" w:type="dxa"/>
            <w:vMerge/>
            <w:shd w:val="clear" w:color="auto" w:fill="auto"/>
          </w:tcPr>
          <w:p w14:paraId="6EC5F26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AF269C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0D024C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C20807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5722607C" w14:textId="77777777" w:rsidTr="00F177EF">
        <w:trPr>
          <w:cantSplit/>
          <w:trHeight w:val="691"/>
        </w:trPr>
        <w:tc>
          <w:tcPr>
            <w:tcW w:w="1980" w:type="dxa"/>
            <w:shd w:val="clear" w:color="auto" w:fill="E5DFEC"/>
          </w:tcPr>
          <w:p w14:paraId="53095A5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Primarily </w:t>
            </w:r>
            <w:r>
              <w:rPr>
                <w:rFonts w:ascii="Cambria" w:hAnsi="Cambria"/>
                <w:sz w:val="18"/>
                <w:szCs w:val="18"/>
              </w:rPr>
              <w:t>B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ased on </w:t>
            </w:r>
            <w:r>
              <w:rPr>
                <w:rFonts w:ascii="Cambria" w:hAnsi="Cambria"/>
                <w:sz w:val="18"/>
                <w:szCs w:val="18"/>
              </w:rPr>
              <w:t>P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hysical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atings</w:t>
            </w:r>
          </w:p>
        </w:tc>
        <w:tc>
          <w:tcPr>
            <w:tcW w:w="1800" w:type="dxa"/>
            <w:vMerge/>
            <w:shd w:val="clear" w:color="auto" w:fill="auto"/>
          </w:tcPr>
          <w:p w14:paraId="28DC90F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0B2B5F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2FAA05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3E5EF8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14B658E6" w14:textId="77777777" w:rsidTr="00F177EF">
        <w:trPr>
          <w:cantSplit/>
          <w:trHeight w:val="318"/>
        </w:trPr>
        <w:tc>
          <w:tcPr>
            <w:tcW w:w="1980" w:type="dxa"/>
            <w:shd w:val="clear" w:color="auto" w:fill="BFBFBF"/>
          </w:tcPr>
          <w:p w14:paraId="5CDC647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General Ventilation Requirements </w:t>
            </w:r>
            <w:r w:rsidRPr="004E1BAF">
              <w:rPr>
                <w:rFonts w:ascii="Cambria" w:hAnsi="Cambria"/>
                <w:i/>
                <w:sz w:val="20"/>
              </w:rPr>
              <w:t>(facility support requirements)</w:t>
            </w:r>
          </w:p>
          <w:p w14:paraId="0E0706E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EA0349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None or low ventilation specifications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30F586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‡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Moderate ventilation, as defined by laboratory ventilation management plan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EC0554C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‡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High ventilation, as defined by laboratory ventilation management plan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394F63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Ventilation designed specifically for this operation</w:t>
            </w:r>
          </w:p>
        </w:tc>
      </w:tr>
      <w:tr w:rsidR="00F177EF" w:rsidRPr="004E1BAF" w14:paraId="6A2F6E21" w14:textId="77777777" w:rsidTr="00F177EF">
        <w:trPr>
          <w:cantSplit/>
          <w:trHeight w:val="317"/>
        </w:trPr>
        <w:tc>
          <w:tcPr>
            <w:tcW w:w="1980" w:type="dxa"/>
            <w:shd w:val="clear" w:color="auto" w:fill="C6D9F1"/>
          </w:tcPr>
          <w:p w14:paraId="327D3CE2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Lab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oom</w:t>
            </w:r>
          </w:p>
        </w:tc>
        <w:tc>
          <w:tcPr>
            <w:tcW w:w="1800" w:type="dxa"/>
            <w:vMerge/>
            <w:shd w:val="clear" w:color="auto" w:fill="auto"/>
          </w:tcPr>
          <w:p w14:paraId="09956EF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4CEAA6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76D40B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5585E8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7522D1F6" w14:textId="77777777" w:rsidTr="00F177EF">
        <w:trPr>
          <w:cantSplit/>
          <w:trHeight w:val="317"/>
        </w:trPr>
        <w:tc>
          <w:tcPr>
            <w:tcW w:w="1980" w:type="dxa"/>
            <w:shd w:val="clear" w:color="auto" w:fill="E5DFEC"/>
          </w:tcPr>
          <w:p w14:paraId="38A0E95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Primarily </w:t>
            </w:r>
            <w:r>
              <w:rPr>
                <w:rFonts w:ascii="Cambria" w:hAnsi="Cambria"/>
                <w:sz w:val="18"/>
                <w:szCs w:val="18"/>
              </w:rPr>
              <w:t>B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ased on </w:t>
            </w:r>
            <w:r>
              <w:rPr>
                <w:rFonts w:ascii="Cambria" w:hAnsi="Cambria"/>
                <w:sz w:val="18"/>
                <w:szCs w:val="18"/>
              </w:rPr>
              <w:t>H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ealth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ating</w:t>
            </w:r>
          </w:p>
        </w:tc>
        <w:tc>
          <w:tcPr>
            <w:tcW w:w="1800" w:type="dxa"/>
            <w:vMerge/>
            <w:shd w:val="clear" w:color="auto" w:fill="auto"/>
          </w:tcPr>
          <w:p w14:paraId="10238F8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F463CB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493BF9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32A343D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570F4CF9" w14:textId="77777777" w:rsidTr="00F177EF">
        <w:trPr>
          <w:cantSplit/>
          <w:trHeight w:val="266"/>
        </w:trPr>
        <w:tc>
          <w:tcPr>
            <w:tcW w:w="1980" w:type="dxa"/>
            <w:shd w:val="clear" w:color="auto" w:fill="BFBFBF"/>
          </w:tcPr>
          <w:p w14:paraId="53DDC75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b/>
                <w:caps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>Other Engineering Controls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E357A4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4A09A3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Local exhaust ventilation (snorkel)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048C7E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Fume hood, local exhaust ventilation (snorkel), limited glove box use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32900C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Fume hood, local exhaust ventilation (snorkel), glove/dry box, enclosed reactor</w:t>
            </w:r>
          </w:p>
        </w:tc>
      </w:tr>
      <w:tr w:rsidR="00F177EF" w:rsidRPr="004E1BAF" w14:paraId="4B4B4B4E" w14:textId="77777777" w:rsidTr="00F177EF">
        <w:trPr>
          <w:cantSplit/>
          <w:trHeight w:val="264"/>
        </w:trPr>
        <w:tc>
          <w:tcPr>
            <w:tcW w:w="1980" w:type="dxa"/>
            <w:shd w:val="clear" w:color="auto" w:fill="C6D9F1"/>
          </w:tcPr>
          <w:p w14:paraId="0108D8A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B6BF09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6F9584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6BC5A0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2D7C91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4B9919B5" w14:textId="77777777" w:rsidTr="00F177EF">
        <w:trPr>
          <w:cantSplit/>
          <w:trHeight w:val="264"/>
        </w:trPr>
        <w:tc>
          <w:tcPr>
            <w:tcW w:w="1980" w:type="dxa"/>
            <w:shd w:val="clear" w:color="auto" w:fill="E5DFEC"/>
          </w:tcPr>
          <w:p w14:paraId="2294CD2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Based on </w:t>
            </w:r>
            <w:r>
              <w:rPr>
                <w:rFonts w:ascii="Cambria" w:hAnsi="Cambria"/>
                <w:sz w:val="18"/>
                <w:szCs w:val="18"/>
              </w:rPr>
              <w:t>E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xposure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isk</w:t>
            </w:r>
          </w:p>
        </w:tc>
        <w:tc>
          <w:tcPr>
            <w:tcW w:w="1800" w:type="dxa"/>
            <w:vMerge/>
            <w:shd w:val="clear" w:color="auto" w:fill="auto"/>
          </w:tcPr>
          <w:p w14:paraId="418EEE2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353A66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B23EC39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C2A3DFF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177EF" w:rsidRPr="004E1BAF" w14:paraId="468083AB" w14:textId="77777777" w:rsidTr="00F177EF">
        <w:trPr>
          <w:cantSplit/>
          <w:trHeight w:val="480"/>
        </w:trPr>
        <w:tc>
          <w:tcPr>
            <w:tcW w:w="1980" w:type="dxa"/>
            <w:shd w:val="clear" w:color="auto" w:fill="BFBFBF"/>
          </w:tcPr>
          <w:p w14:paraId="4B7C05D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4E1BAF">
              <w:rPr>
                <w:rFonts w:ascii="Cambria" w:hAnsi="Cambria"/>
                <w:b/>
                <w:caps/>
                <w:sz w:val="20"/>
              </w:rPr>
              <w:t xml:space="preserve">Emergency Response Protocol </w:t>
            </w:r>
            <w:r w:rsidRPr="004E1BAF">
              <w:rPr>
                <w:rFonts w:ascii="Cambria" w:hAnsi="Cambria"/>
                <w:i/>
                <w:sz w:val="20"/>
              </w:rPr>
              <w:t>(expectations for response to potential hazmat emergencies)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FF85E0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Institutional-specific response protocol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63BD503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Institutional-specific response protocol; people with knowledge of incident have responsibility to provide information to responders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0679CD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Institutional-specific response protocol; may have advanced lab response protocol to make the situation safe while evacuating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01F8F2A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I</w:t>
            </w:r>
            <w:r w:rsidRPr="004E1BAF">
              <w:rPr>
                <w:rFonts w:ascii="Cambria" w:hAnsi="Cambria"/>
                <w:color w:val="000000"/>
                <w:sz w:val="18"/>
                <w:szCs w:val="18"/>
              </w:rPr>
              <w:t>nstitutional-specific response protocol; specific pre-planning required</w:t>
            </w:r>
          </w:p>
        </w:tc>
      </w:tr>
      <w:tr w:rsidR="00F177EF" w:rsidRPr="004E1BAF" w14:paraId="13E3938F" w14:textId="77777777" w:rsidTr="00F177EF">
        <w:trPr>
          <w:cantSplit/>
          <w:trHeight w:val="480"/>
        </w:trPr>
        <w:tc>
          <w:tcPr>
            <w:tcW w:w="1980" w:type="dxa"/>
            <w:shd w:val="clear" w:color="auto" w:fill="C6D9F1"/>
          </w:tcPr>
          <w:p w14:paraId="4B48230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 xml:space="preserve">Lab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oom</w:t>
            </w:r>
          </w:p>
        </w:tc>
        <w:tc>
          <w:tcPr>
            <w:tcW w:w="1800" w:type="dxa"/>
            <w:vMerge/>
            <w:shd w:val="clear" w:color="auto" w:fill="auto"/>
          </w:tcPr>
          <w:p w14:paraId="297456E0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F35A3F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7E03DB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0AC0FB5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F177EF" w:rsidRPr="004E1BAF" w14:paraId="3AC8B664" w14:textId="77777777" w:rsidTr="00F177EF">
        <w:trPr>
          <w:cantSplit/>
          <w:trHeight w:val="480"/>
        </w:trPr>
        <w:tc>
          <w:tcPr>
            <w:tcW w:w="1980" w:type="dxa"/>
            <w:shd w:val="clear" w:color="auto" w:fill="E5DFEC"/>
          </w:tcPr>
          <w:p w14:paraId="1CA091B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lastRenderedPageBreak/>
              <w:t xml:space="preserve">Primarily </w:t>
            </w:r>
            <w:r>
              <w:rPr>
                <w:rFonts w:ascii="Cambria" w:hAnsi="Cambria"/>
                <w:sz w:val="18"/>
                <w:szCs w:val="18"/>
              </w:rPr>
              <w:t>B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ased on </w:t>
            </w:r>
            <w:r>
              <w:rPr>
                <w:rFonts w:ascii="Cambria" w:hAnsi="Cambria"/>
                <w:sz w:val="18"/>
                <w:szCs w:val="18"/>
              </w:rPr>
              <w:t>P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hysical and 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echanical 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 w:rsidRPr="004E1BAF">
              <w:rPr>
                <w:rFonts w:ascii="Cambria" w:hAnsi="Cambria"/>
                <w:sz w:val="18"/>
                <w:szCs w:val="18"/>
              </w:rPr>
              <w:t>atings</w:t>
            </w:r>
          </w:p>
        </w:tc>
        <w:tc>
          <w:tcPr>
            <w:tcW w:w="1800" w:type="dxa"/>
            <w:vMerge/>
            <w:shd w:val="clear" w:color="auto" w:fill="auto"/>
          </w:tcPr>
          <w:p w14:paraId="5702FF3B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9066DE6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6B2E6DE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84FDC71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F177EF" w:rsidRPr="004E1BAF" w14:paraId="4478F59A" w14:textId="77777777" w:rsidTr="00F177EF">
        <w:trPr>
          <w:cantSplit/>
          <w:trHeight w:val="480"/>
        </w:trPr>
        <w:tc>
          <w:tcPr>
            <w:tcW w:w="10080" w:type="dxa"/>
            <w:gridSpan w:val="5"/>
            <w:shd w:val="clear" w:color="auto" w:fill="auto"/>
          </w:tcPr>
          <w:p w14:paraId="4109DDEA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Self-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4E1BAF">
              <w:rPr>
                <w:rFonts w:ascii="Cambria" w:hAnsi="Cambria"/>
                <w:sz w:val="18"/>
                <w:szCs w:val="18"/>
              </w:rPr>
              <w:t>nspection: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quick look at physical surroundings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 w:rsidRPr="004E1BAF">
              <w:rPr>
                <w:rFonts w:ascii="Cambria" w:hAnsi="Cambria"/>
                <w:sz w:val="18"/>
                <w:szCs w:val="18"/>
              </w:rPr>
              <w:t>may or may not use a formal checklist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14:paraId="32932DB4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**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Self-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 w:rsidRPr="004E1BAF">
              <w:rPr>
                <w:rFonts w:ascii="Cambria" w:hAnsi="Cambria"/>
                <w:sz w:val="18"/>
                <w:szCs w:val="18"/>
              </w:rPr>
              <w:t>udit: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more comprehensive review of the CSL and other documentation; use a checklist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14:paraId="534D281C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*** Drop-by: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informal review, consult, check-in, friendly visit by an institutional representative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14:paraId="52088C38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†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Risk-based Institutional Review: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formal review of lab by an institutional representative; use a checklist, document issues for correction, escalate issues to upper management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4E1BAF">
              <w:rPr>
                <w:rFonts w:ascii="Cambria" w:hAnsi="Cambria"/>
                <w:sz w:val="18"/>
                <w:szCs w:val="18"/>
              </w:rPr>
              <w:t xml:space="preserve"> as necessary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14:paraId="2CF81637" w14:textId="77777777" w:rsidR="00F177EF" w:rsidRPr="004E1BAF" w:rsidRDefault="00F177EF" w:rsidP="006C4C4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E1BAF">
              <w:rPr>
                <w:rFonts w:ascii="Cambria" w:hAnsi="Cambria"/>
                <w:sz w:val="18"/>
                <w:szCs w:val="18"/>
              </w:rPr>
              <w:t>‡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E1BAF">
              <w:rPr>
                <w:rFonts w:ascii="Cambria" w:hAnsi="Cambria"/>
                <w:sz w:val="18"/>
                <w:szCs w:val="18"/>
              </w:rPr>
              <w:t>Contact facilities for details about the laboratory ventilation plan.</w:t>
            </w:r>
          </w:p>
        </w:tc>
      </w:tr>
    </w:tbl>
    <w:p w14:paraId="664ACE31" w14:textId="77777777" w:rsidR="00FF00A0" w:rsidRDefault="00FF00A0" w:rsidP="004D3188">
      <w:pPr>
        <w:tabs>
          <w:tab w:val="left" w:pos="3840"/>
        </w:tabs>
      </w:pPr>
    </w:p>
    <w:p w14:paraId="5F493E86" w14:textId="77777777" w:rsidR="00CB1945" w:rsidRPr="00CB1945" w:rsidRDefault="00CB1945" w:rsidP="00CB1945">
      <w:pPr>
        <w:ind w:left="-360"/>
        <w:rPr>
          <w:rFonts w:ascii="Cambria" w:hAnsi="Cambria"/>
          <w:color w:val="595959"/>
          <w:sz w:val="20"/>
        </w:rPr>
      </w:pPr>
      <w:r w:rsidRPr="00CB1945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17F081EF" w14:textId="77777777" w:rsidR="00CB1945" w:rsidRPr="00CB1945" w:rsidRDefault="00CB1945" w:rsidP="00CB1945">
      <w:pPr>
        <w:ind w:left="-360"/>
        <w:rPr>
          <w:rFonts w:ascii="Cambria" w:hAnsi="Cambria"/>
          <w:color w:val="595959"/>
          <w:sz w:val="20"/>
        </w:rPr>
      </w:pPr>
      <w:r w:rsidRPr="00CB1945">
        <w:rPr>
          <w:rFonts w:ascii="Cambria" w:hAnsi="Cambria"/>
          <w:color w:val="595959"/>
          <w:sz w:val="20"/>
        </w:rPr>
        <w:t>© Copyright 2015 American Chemical Society</w:t>
      </w:r>
    </w:p>
    <w:p w14:paraId="47FDA726" w14:textId="77777777" w:rsidR="00CB1945" w:rsidRDefault="00CB1945" w:rsidP="004D3188">
      <w:pPr>
        <w:tabs>
          <w:tab w:val="left" w:pos="3840"/>
        </w:tabs>
      </w:pPr>
    </w:p>
    <w:p w14:paraId="0691F84B" w14:textId="28EF0859" w:rsidR="007D705D" w:rsidRDefault="004D3188" w:rsidP="004D3188">
      <w:pPr>
        <w:tabs>
          <w:tab w:val="left" w:pos="3840"/>
        </w:tabs>
      </w:pPr>
      <w:r w:rsidRPr="00561B0D">
        <w:tab/>
      </w:r>
    </w:p>
    <w:p w14:paraId="36A86132" w14:textId="77777777" w:rsidR="00FF00A0" w:rsidRDefault="00FF00A0" w:rsidP="004D3188">
      <w:pPr>
        <w:tabs>
          <w:tab w:val="left" w:pos="3840"/>
        </w:tabs>
      </w:pPr>
    </w:p>
    <w:p w14:paraId="74A59E71" w14:textId="77777777" w:rsidR="00FF00A0" w:rsidRPr="00561B0D" w:rsidRDefault="00FF00A0" w:rsidP="004D3188">
      <w:pPr>
        <w:tabs>
          <w:tab w:val="left" w:pos="3840"/>
        </w:tabs>
      </w:pPr>
    </w:p>
    <w:sectPr w:rsidR="00FF00A0" w:rsidRPr="00561B0D" w:rsidSect="00FF00A0">
      <w:footerReference w:type="default" r:id="rId9"/>
      <w:pgSz w:w="12240" w:h="15840"/>
      <w:pgMar w:top="81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56055" w14:textId="77777777" w:rsidR="003E2A96" w:rsidRDefault="003E2A96" w:rsidP="00136352">
      <w:pPr>
        <w:spacing w:after="0" w:line="240" w:lineRule="auto"/>
      </w:pPr>
      <w:r>
        <w:separator/>
      </w:r>
    </w:p>
  </w:endnote>
  <w:endnote w:type="continuationSeparator" w:id="0">
    <w:p w14:paraId="4B6E2BA4" w14:textId="77777777" w:rsidR="003E2A96" w:rsidRDefault="003E2A96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9"/>
      <w:gridCol w:w="477"/>
    </w:tblGrid>
    <w:tr w:rsidR="00FF00A0" w14:paraId="79683180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25FF1F68" w14:textId="00DC7CC2" w:rsidR="00FF00A0" w:rsidRPr="00CB1945" w:rsidRDefault="00FF00A0" w:rsidP="00CB1945">
          <w:pPr>
            <w:spacing w:after="120" w:line="240" w:lineRule="auto"/>
            <w:rPr>
              <w:rFonts w:asciiTheme="minorHAnsi" w:hAnsiTheme="minorHAnsi"/>
              <w:color w:val="595959" w:themeColor="text1" w:themeTint="A6"/>
              <w:sz w:val="20"/>
            </w:rPr>
          </w:pPr>
          <w:r w:rsidRPr="00FF00A0">
            <w:rPr>
              <w:rFonts w:asciiTheme="minorHAnsi" w:hAnsiTheme="minorHAnsi"/>
              <w:sz w:val="20"/>
            </w:rPr>
            <w:t xml:space="preserve">Table 8-1: </w:t>
          </w:r>
          <w:r w:rsidR="00CB1945" w:rsidRPr="005F57D9">
            <w:rPr>
              <w:rFonts w:asciiTheme="minorHAnsi" w:hAnsiTheme="minorHAnsi"/>
              <w:color w:val="595959" w:themeColor="text1" w:themeTint="A6"/>
              <w:sz w:val="20"/>
            </w:rPr>
            <w:t>Approach to establishing chemical safety levels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476499AC" w14:textId="77777777" w:rsidR="00FF00A0" w:rsidRPr="00C7200C" w:rsidRDefault="00FF00A0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61660A">
            <w:rPr>
              <w:b/>
              <w:color w:val="4F81BD" w:themeColor="accent1"/>
              <w:szCs w:val="24"/>
            </w:rPr>
            <w:fldChar w:fldCharType="begin"/>
          </w:r>
          <w:r w:rsidRPr="0061660A">
            <w:rPr>
              <w:b/>
              <w:color w:val="4F81BD" w:themeColor="accent1"/>
              <w:szCs w:val="24"/>
            </w:rPr>
            <w:instrText xml:space="preserve"> PAGE   \* MERGEFORMAT </w:instrText>
          </w:r>
          <w:r w:rsidRPr="0061660A">
            <w:rPr>
              <w:b/>
              <w:color w:val="4F81BD" w:themeColor="accent1"/>
              <w:szCs w:val="24"/>
            </w:rPr>
            <w:fldChar w:fldCharType="separate"/>
          </w:r>
          <w:r w:rsidR="00472F41">
            <w:rPr>
              <w:b/>
              <w:noProof/>
              <w:color w:val="4F81BD" w:themeColor="accent1"/>
              <w:szCs w:val="24"/>
            </w:rPr>
            <w:t>3</w:t>
          </w:r>
          <w:r w:rsidRPr="0061660A">
            <w:rPr>
              <w:b/>
              <w:color w:val="4F81BD" w:themeColor="accent1"/>
              <w:szCs w:val="24"/>
            </w:rPr>
            <w:fldChar w:fldCharType="end"/>
          </w:r>
        </w:p>
      </w:tc>
    </w:tr>
  </w:tbl>
  <w:p w14:paraId="692E96BE" w14:textId="77777777" w:rsidR="00FF00A0" w:rsidRDefault="00FF00A0" w:rsidP="00FF0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B7F4" w14:textId="77777777" w:rsidR="003E2A96" w:rsidRDefault="003E2A96" w:rsidP="00136352">
      <w:pPr>
        <w:spacing w:after="0" w:line="240" w:lineRule="auto"/>
      </w:pPr>
      <w:r>
        <w:separator/>
      </w:r>
    </w:p>
  </w:footnote>
  <w:footnote w:type="continuationSeparator" w:id="0">
    <w:p w14:paraId="15B2BC05" w14:textId="77777777" w:rsidR="003E2A96" w:rsidRDefault="003E2A96" w:rsidP="001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E17EE"/>
    <w:rsid w:val="000F1E04"/>
    <w:rsid w:val="000F217F"/>
    <w:rsid w:val="00136352"/>
    <w:rsid w:val="001913EB"/>
    <w:rsid w:val="001B2B82"/>
    <w:rsid w:val="00206DAF"/>
    <w:rsid w:val="0029795B"/>
    <w:rsid w:val="002B4105"/>
    <w:rsid w:val="002E2FE0"/>
    <w:rsid w:val="00344B64"/>
    <w:rsid w:val="003E2A96"/>
    <w:rsid w:val="00451F62"/>
    <w:rsid w:val="00472F41"/>
    <w:rsid w:val="004A3202"/>
    <w:rsid w:val="004D3188"/>
    <w:rsid w:val="00535E3E"/>
    <w:rsid w:val="00535FDC"/>
    <w:rsid w:val="00561B0D"/>
    <w:rsid w:val="0065547D"/>
    <w:rsid w:val="006E2315"/>
    <w:rsid w:val="00756881"/>
    <w:rsid w:val="007C54F7"/>
    <w:rsid w:val="007D705D"/>
    <w:rsid w:val="007F21FF"/>
    <w:rsid w:val="00813B0F"/>
    <w:rsid w:val="009E40CA"/>
    <w:rsid w:val="00A41628"/>
    <w:rsid w:val="00A946C1"/>
    <w:rsid w:val="00AD094B"/>
    <w:rsid w:val="00B77655"/>
    <w:rsid w:val="00C37492"/>
    <w:rsid w:val="00C61308"/>
    <w:rsid w:val="00CB1945"/>
    <w:rsid w:val="00CD4AF2"/>
    <w:rsid w:val="00D10A1E"/>
    <w:rsid w:val="00D71BEC"/>
    <w:rsid w:val="00DE2C8A"/>
    <w:rsid w:val="00E902E4"/>
    <w:rsid w:val="00ED549B"/>
    <w:rsid w:val="00ED5CE7"/>
    <w:rsid w:val="00F177EF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2F7F8-B958-4168-9ACB-0A6F4ED1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to establishing chemical safety levels</dc:title>
  <dc:creator>Hazard Identification and Evaluation Task Force of the American Chemical Society’s Committee on Chemical Safety</dc:creator>
  <cp:lastModifiedBy>Dorrie Hutchison</cp:lastModifiedBy>
  <cp:revision>5</cp:revision>
  <cp:lastPrinted>2016-05-03T19:51:00Z</cp:lastPrinted>
  <dcterms:created xsi:type="dcterms:W3CDTF">2016-06-24T01:01:00Z</dcterms:created>
  <dcterms:modified xsi:type="dcterms:W3CDTF">2016-06-24T21:11:00Z</dcterms:modified>
</cp:coreProperties>
</file>