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8D8AD" w14:textId="554FBDD3" w:rsidR="00806552" w:rsidRPr="00F7084A" w:rsidRDefault="00806552" w:rsidP="00BE6734">
      <w:pPr>
        <w:pStyle w:val="Heading1"/>
        <w:spacing w:before="0" w:after="120" w:line="240" w:lineRule="auto"/>
        <w:ind w:left="288"/>
        <w:rPr>
          <w:sz w:val="28"/>
        </w:rPr>
      </w:pPr>
      <w:bookmarkStart w:id="0" w:name="_GoBack"/>
      <w:r w:rsidRPr="00F7084A">
        <w:rPr>
          <w:sz w:val="28"/>
        </w:rPr>
        <w:t>S</w:t>
      </w:r>
      <w:r w:rsidR="00CB5454" w:rsidRPr="00F7084A">
        <w:rPr>
          <w:sz w:val="28"/>
        </w:rPr>
        <w:t>tandard Operating Procedures</w:t>
      </w:r>
      <w:r w:rsidRPr="00F7084A">
        <w:rPr>
          <w:sz w:val="28"/>
        </w:rPr>
        <w:t xml:space="preserve"> - Matrix for new process involving carbon monoxide</w:t>
      </w:r>
    </w:p>
    <w:bookmarkEnd w:id="0"/>
    <w:p w14:paraId="74672653" w14:textId="005FAA9B" w:rsidR="003F7D94" w:rsidRDefault="003F7D94" w:rsidP="00A83873">
      <w:pPr>
        <w:ind w:left="288"/>
        <w:rPr>
          <w:rFonts w:asciiTheme="minorHAnsi" w:hAnsiTheme="minorHAnsi"/>
          <w:szCs w:val="24"/>
        </w:rPr>
      </w:pPr>
      <w:r w:rsidRPr="002812D3">
        <w:rPr>
          <w:rFonts w:asciiTheme="minorHAnsi" w:hAnsiTheme="minorHAnsi"/>
          <w:szCs w:val="24"/>
        </w:rPr>
        <w:t xml:space="preserve">Table </w:t>
      </w:r>
      <w:r w:rsidR="00806552">
        <w:rPr>
          <w:rFonts w:asciiTheme="minorHAnsi" w:hAnsiTheme="minorHAnsi"/>
          <w:szCs w:val="24"/>
        </w:rPr>
        <w:t>G</w:t>
      </w:r>
      <w:r w:rsidR="00C719E5">
        <w:rPr>
          <w:rFonts w:asciiTheme="minorHAnsi" w:hAnsiTheme="minorHAnsi"/>
          <w:szCs w:val="24"/>
        </w:rPr>
        <w:t>-1</w:t>
      </w:r>
    </w:p>
    <w:p w14:paraId="19A92389" w14:textId="12F0A268" w:rsidR="00806552" w:rsidRPr="00CB5454" w:rsidRDefault="00806552" w:rsidP="00806552">
      <w:pPr>
        <w:ind w:left="-144" w:firstLine="414"/>
        <w:rPr>
          <w:rFonts w:asciiTheme="minorHAnsi" w:hAnsiTheme="minorHAnsi"/>
          <w:szCs w:val="24"/>
        </w:rPr>
      </w:pPr>
      <w:bookmarkStart w:id="1" w:name="_Toc403595394"/>
      <w:r w:rsidRPr="00CB5454">
        <w:rPr>
          <w:rFonts w:ascii="Cambria" w:eastAsia="MS Gothic" w:hAnsi="Cambria"/>
          <w:b/>
          <w:bCs/>
          <w:sz w:val="24"/>
          <w:szCs w:val="24"/>
          <w:lang w:eastAsia="x-none"/>
        </w:rPr>
        <w:t>(Columns 1–4)</w:t>
      </w:r>
      <w:bookmarkEnd w:id="1"/>
    </w:p>
    <w:tbl>
      <w:tblPr>
        <w:tblW w:w="101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tandard Operating Procedures - Matrix for new process involving carbon monoxide"/>
        <w:tblDescription w:val="Table G-1, columns 1-4"/>
      </w:tblPr>
      <w:tblGrid>
        <w:gridCol w:w="1710"/>
        <w:gridCol w:w="2160"/>
        <w:gridCol w:w="1980"/>
        <w:gridCol w:w="2250"/>
        <w:gridCol w:w="2070"/>
      </w:tblGrid>
      <w:tr w:rsidR="00806552" w:rsidRPr="004E1BAF" w14:paraId="68251A06" w14:textId="77777777" w:rsidTr="00806552">
        <w:trPr>
          <w:trHeight w:val="827"/>
          <w:tblHeader/>
        </w:trPr>
        <w:tc>
          <w:tcPr>
            <w:tcW w:w="171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522F97FB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b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b/>
                <w:sz w:val="16"/>
                <w:szCs w:val="20"/>
              </w:rPr>
              <w:t>Evaluate Each Step or Task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06E660F0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b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b/>
                <w:sz w:val="16"/>
                <w:szCs w:val="20"/>
              </w:rPr>
              <w:t>Hazard Identification - Known and Potential Hazards - Safety constraints &amp; restrictions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4F21881D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b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b/>
                <w:sz w:val="16"/>
                <w:szCs w:val="20"/>
              </w:rPr>
              <w:t>Specific issues identified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546FB1D3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b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b/>
                <w:sz w:val="16"/>
                <w:szCs w:val="20"/>
              </w:rPr>
              <w:t xml:space="preserve">Risk Assessment - What </w:t>
            </w:r>
            <w:proofErr w:type="gramStart"/>
            <w:r w:rsidRPr="000F4401">
              <w:rPr>
                <w:rFonts w:ascii="Cambria" w:eastAsia="Times New Roman" w:hAnsi="Cambria" w:cs="Arial"/>
                <w:b/>
                <w:sz w:val="16"/>
                <w:szCs w:val="20"/>
              </w:rPr>
              <w:t>is</w:t>
            </w:r>
            <w:proofErr w:type="gramEnd"/>
            <w:r w:rsidRPr="000F4401">
              <w:rPr>
                <w:rFonts w:ascii="Cambria" w:eastAsia="Times New Roman" w:hAnsi="Cambria" w:cs="Arial"/>
                <w:b/>
                <w:sz w:val="16"/>
                <w:szCs w:val="20"/>
              </w:rPr>
              <w:t xml:space="preserve"> most likely to go wrong - what are the most severe consequences even if unlikely?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5C05DE11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b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b/>
                <w:sz w:val="16"/>
                <w:szCs w:val="20"/>
              </w:rPr>
              <w:t>Literature search and consultation with experienced supervisors for lessons learned</w:t>
            </w:r>
          </w:p>
        </w:tc>
      </w:tr>
      <w:tr w:rsidR="00806552" w:rsidRPr="004E1BAF" w14:paraId="4770D185" w14:textId="77777777" w:rsidTr="00806552">
        <w:trPr>
          <w:trHeight w:val="845"/>
        </w:trPr>
        <w:tc>
          <w:tcPr>
            <w:tcW w:w="1710" w:type="dxa"/>
            <w:shd w:val="clear" w:color="auto" w:fill="C6D9F1"/>
            <w:vAlign w:val="center"/>
          </w:tcPr>
          <w:p w14:paraId="72644EF0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Regulatory Concerns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D354992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Understanding applicability, cost constraints, lack of options, delays, require assistance, permits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542D98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16"/>
              </w:rPr>
            </w:pP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Fire codes for flammable compressed gases limits storage amounts and conditions, regulators, tubing, connections and may require special storage, alarms, etc. Fire code requires conditions for safe egress.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Compressed gases are regulated by NFPA and OSHA.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 xml:space="preserve">NFPA and IFC also regulate toxic gases 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>(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see below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>)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8660BF7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16"/>
              </w:rPr>
            </w:pP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Improper storage can lead to a leak or high vol. gas release.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Improper connections can lead to a leak or static buildup.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Emergency response may be impeded by lack of shut off valves or kill switches.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Lack of fire alarms/suppression could result in catastrophic fire damage.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 xml:space="preserve">For flammable gas CO, regulatory concerns relate to flammability, toxicity, and gas under pressure 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>(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see below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>).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DE5E437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/>
                <w:color w:val="FF0000"/>
                <w:sz w:val="16"/>
                <w:szCs w:val="16"/>
              </w:rPr>
            </w:pPr>
            <w:r w:rsidRPr="000F4401">
              <w:rPr>
                <w:rFonts w:ascii="Cambria" w:hAnsi="Cambria"/>
                <w:color w:val="FF0000"/>
                <w:sz w:val="16"/>
                <w:szCs w:val="16"/>
              </w:rPr>
              <w:t>NFPA codes have been written to address deficiencies in construction, operations, storage, etc. that had led to loss of life.</w:t>
            </w:r>
            <w:r>
              <w:rPr>
                <w:rFonts w:ascii="Cambria" w:hAnsi="Cambria"/>
                <w:color w:val="FF0000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/>
                <w:color w:val="FF0000"/>
                <w:sz w:val="16"/>
                <w:szCs w:val="16"/>
              </w:rPr>
              <w:t>Literature reviews should uncover laboratory accidents involving most flammable gases, compressed gases, many pieces of equipment and many processes.</w:t>
            </w:r>
            <w:r>
              <w:rPr>
                <w:rFonts w:ascii="Cambria" w:hAnsi="Cambria"/>
                <w:color w:val="FF0000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/>
                <w:color w:val="FF0000"/>
                <w:sz w:val="16"/>
                <w:szCs w:val="16"/>
              </w:rPr>
              <w:t>Additionally, the release of toxic gases is well documented</w:t>
            </w:r>
          </w:p>
        </w:tc>
      </w:tr>
      <w:tr w:rsidR="00806552" w:rsidRPr="004E1BAF" w14:paraId="001B398B" w14:textId="77777777" w:rsidTr="00806552">
        <w:trPr>
          <w:trHeight w:val="1259"/>
        </w:trPr>
        <w:tc>
          <w:tcPr>
            <w:tcW w:w="1710" w:type="dxa"/>
            <w:shd w:val="clear" w:color="auto" w:fill="C6D9F1"/>
            <w:vAlign w:val="center"/>
          </w:tcPr>
          <w:p w14:paraId="4E22B65B" w14:textId="77777777" w:rsidR="00806552" w:rsidRPr="000F4401" w:rsidRDefault="00806552" w:rsidP="00806552">
            <w:pPr>
              <w:spacing w:after="0" w:line="240" w:lineRule="auto"/>
              <w:ind w:left="-198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Human Factors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4BA8F23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Inexperienced worker, new experiment, work hours, follows directions, medical conditions, effect of errors, effect of cold or fatigue, language barrier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11EF88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16"/>
              </w:rPr>
            </w:pP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Relatively new graduate student from overseas with limited command of English.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New experiment for this student.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F1F08A0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/>
                <w:color w:val="FF0000"/>
                <w:sz w:val="16"/>
                <w:szCs w:val="16"/>
              </w:rPr>
            </w:pPr>
            <w:r w:rsidRPr="000F4401">
              <w:rPr>
                <w:rFonts w:ascii="Cambria" w:hAnsi="Cambria"/>
                <w:color w:val="FF0000"/>
                <w:sz w:val="16"/>
                <w:szCs w:val="16"/>
              </w:rPr>
              <w:t>Student may misunderstand parts of scientific procedure/safety procedures.</w:t>
            </w:r>
            <w:r>
              <w:rPr>
                <w:rFonts w:ascii="Cambria" w:hAnsi="Cambria"/>
                <w:color w:val="FF0000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/>
                <w:color w:val="FF0000"/>
                <w:sz w:val="16"/>
                <w:szCs w:val="16"/>
              </w:rPr>
              <w:t>Student may not have been adequately prepared or trained.</w:t>
            </w:r>
            <w:r>
              <w:rPr>
                <w:rFonts w:ascii="Cambria" w:hAnsi="Cambria"/>
                <w:color w:val="FF0000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/>
                <w:color w:val="FF0000"/>
                <w:sz w:val="16"/>
                <w:szCs w:val="16"/>
              </w:rPr>
              <w:t>Student may not be able to acquire emergency help.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49AC242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/>
                <w:color w:val="FF0000"/>
                <w:sz w:val="16"/>
                <w:szCs w:val="16"/>
              </w:rPr>
            </w:pPr>
            <w:r w:rsidRPr="000F4401">
              <w:rPr>
                <w:rFonts w:ascii="Cambria" w:hAnsi="Cambria"/>
                <w:color w:val="FF0000"/>
                <w:sz w:val="16"/>
                <w:szCs w:val="16"/>
              </w:rPr>
              <w:t>Student should be required to review literature extensively to understand the hazards, potential for accidents, measures for mitigation or prevention of an accident.</w:t>
            </w:r>
          </w:p>
        </w:tc>
      </w:tr>
      <w:tr w:rsidR="00806552" w:rsidRPr="004E1BAF" w14:paraId="5F83B623" w14:textId="77777777" w:rsidTr="00806552">
        <w:trPr>
          <w:trHeight w:val="1250"/>
        </w:trPr>
        <w:tc>
          <w:tcPr>
            <w:tcW w:w="1710" w:type="dxa"/>
            <w:shd w:val="clear" w:color="auto" w:fill="C6D9F1"/>
            <w:vAlign w:val="center"/>
          </w:tcPr>
          <w:p w14:paraId="2F7B3BA0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Facility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5AB3076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Lighting, hand wash sink, egress, electrical circuits, ventilation, emergency equip., code adherence, confined space, storage arrangements, sturdy shelves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6EDDBC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F3D37FC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/>
                <w:color w:val="FF0000"/>
                <w:sz w:val="16"/>
                <w:szCs w:val="16"/>
              </w:rPr>
            </w:pPr>
            <w:r w:rsidRPr="000F4401">
              <w:rPr>
                <w:rFonts w:ascii="Cambria" w:hAnsi="Cambria"/>
                <w:color w:val="FF0000"/>
                <w:sz w:val="16"/>
                <w:szCs w:val="16"/>
              </w:rPr>
              <w:t>Is gas segregated from oxidizers? Is cylinder secured? Does the cylinder impede egress? Are there sprinklers in the laboratory and/or the hood?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A998B5A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</w:tr>
      <w:tr w:rsidR="00806552" w:rsidRPr="004E1BAF" w14:paraId="4668B1E8" w14:textId="77777777" w:rsidTr="00806552">
        <w:trPr>
          <w:trHeight w:val="1430"/>
        </w:trPr>
        <w:tc>
          <w:tcPr>
            <w:tcW w:w="1710" w:type="dxa"/>
            <w:shd w:val="clear" w:color="auto" w:fill="C6D9F1"/>
            <w:vAlign w:val="center"/>
          </w:tcPr>
          <w:p w14:paraId="5AEF50A1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Materials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9F50A41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 xml:space="preserve">Biological, Radiological, Chemicals; for chemicals--flammability, toxicity, PEL, Physical data, reactivity, </w:t>
            </w:r>
            <w:proofErr w:type="spellStart"/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corrosivity</w:t>
            </w:r>
            <w:proofErr w:type="spellEnd"/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, thermal &amp; chemical stability, inadvertent mixing, routes of exposure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972A51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16"/>
              </w:rPr>
            </w:pP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The flammable gas is carbon monoxide, a toxic gas with a GHS acute toxicity rating of 3 and no physiological warning properties.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Must be used at 100%, passed through a synthesis unit, and released.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May run continuously for 24 hours.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A3F42F0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/>
                <w:color w:val="FF0000"/>
                <w:sz w:val="16"/>
                <w:szCs w:val="16"/>
              </w:rPr>
            </w:pPr>
            <w:r w:rsidRPr="000F4401">
              <w:rPr>
                <w:rFonts w:ascii="Cambria" w:hAnsi="Cambria"/>
                <w:color w:val="FF0000"/>
                <w:sz w:val="16"/>
                <w:szCs w:val="16"/>
              </w:rPr>
              <w:t>Potential for fire, but if leak develops, exposure risk is high.</w:t>
            </w:r>
            <w:r>
              <w:rPr>
                <w:rFonts w:ascii="Cambria" w:hAnsi="Cambria"/>
                <w:color w:val="FF0000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/>
                <w:color w:val="FF0000"/>
                <w:sz w:val="16"/>
                <w:szCs w:val="16"/>
              </w:rPr>
              <w:t>Realize that a gas leak can only be detected w/monitoring system; note potential for slow buildup of toxic gas, and potential for chronic sub-acute poisoning; effects of illness may be delayed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7F7BF0B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16"/>
                <w:u w:val="single"/>
              </w:rPr>
            </w:pP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At the time of publication OSHA guidance is found at:</w:t>
            </w:r>
            <w:r>
              <w:rPr>
                <w:rFonts w:ascii="Cambria" w:hAnsi="Cambria" w:cs="Arial"/>
                <w:color w:val="FF0000"/>
                <w:sz w:val="16"/>
                <w:szCs w:val="16"/>
                <w:u w:val="single"/>
              </w:rPr>
              <w:t xml:space="preserve">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  <w:u w:val="single"/>
              </w:rPr>
              <w:t>http://www.osha.gov/SLTC/healthguidelines/carbonmonoxide/recognition.html</w:t>
            </w:r>
            <w:r>
              <w:rPr>
                <w:rFonts w:ascii="Cambria" w:hAnsi="Cambria" w:cs="Arial"/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 xml:space="preserve">      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Lessons Learned: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  <w:u w:val="single"/>
              </w:rPr>
              <w:t xml:space="preserve">http://thepost.ohiou.edu/content/plans-initiated-prevent-carbon-monoxide-leaks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; recommend internet search for other information</w:t>
            </w:r>
          </w:p>
        </w:tc>
      </w:tr>
      <w:tr w:rsidR="00806552" w:rsidRPr="004E1BAF" w14:paraId="319EEA49" w14:textId="77777777" w:rsidTr="00806552">
        <w:trPr>
          <w:trHeight w:val="863"/>
        </w:trPr>
        <w:tc>
          <w:tcPr>
            <w:tcW w:w="1710" w:type="dxa"/>
            <w:shd w:val="clear" w:color="auto" w:fill="C6D9F1"/>
            <w:vAlign w:val="center"/>
          </w:tcPr>
          <w:p w14:paraId="397DF1DD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 xml:space="preserve">Equipment and </w:t>
            </w:r>
            <w:proofErr w:type="spellStart"/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Labware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2FB48A4C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Materials integrity, maintenance, piping, electrical, relief systems, ventilation systems, safety mechanism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2A4560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CB43D75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/>
                <w:color w:val="FF0000"/>
                <w:sz w:val="16"/>
                <w:szCs w:val="16"/>
              </w:rPr>
            </w:pPr>
            <w:r w:rsidRPr="000F4401">
              <w:rPr>
                <w:rFonts w:ascii="Cambria" w:hAnsi="Cambria"/>
                <w:color w:val="FF0000"/>
                <w:sz w:val="16"/>
                <w:szCs w:val="16"/>
              </w:rPr>
              <w:t>Ensure use of appropriate piping with adequate safety mechanisms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9A67337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F440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806552" w:rsidRPr="004E1BAF" w14:paraId="43E24276" w14:textId="77777777" w:rsidTr="00806552">
        <w:trPr>
          <w:trHeight w:val="800"/>
        </w:trPr>
        <w:tc>
          <w:tcPr>
            <w:tcW w:w="1710" w:type="dxa"/>
            <w:shd w:val="clear" w:color="auto" w:fill="C6D9F1"/>
            <w:vAlign w:val="center"/>
          </w:tcPr>
          <w:p w14:paraId="388EBC2D" w14:textId="77777777" w:rsidR="00806552" w:rsidRPr="000F4401" w:rsidRDefault="00806552" w:rsidP="00806552">
            <w:pPr>
              <w:spacing w:after="0" w:line="240" w:lineRule="auto"/>
              <w:ind w:left="-108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Process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6D5D307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Unsafe quantity or concentration, unsafe temp, pressure, flow or composition, deviations, potential for runaway reaction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D94B9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80F6D99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/>
                <w:color w:val="FF0000"/>
                <w:sz w:val="16"/>
                <w:szCs w:val="16"/>
              </w:rPr>
            </w:pPr>
            <w:r w:rsidRPr="000F4401">
              <w:rPr>
                <w:rFonts w:ascii="Cambria" w:hAnsi="Cambria"/>
                <w:color w:val="FF0000"/>
                <w:sz w:val="16"/>
                <w:szCs w:val="16"/>
              </w:rPr>
              <w:t>Identify potential ignition sources. Is there a possibility of an explosive quantity?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2EC721C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F440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806552" w:rsidRPr="004E1BAF" w14:paraId="2B7FDA8E" w14:textId="77777777" w:rsidTr="00806552">
        <w:trPr>
          <w:trHeight w:val="719"/>
        </w:trPr>
        <w:tc>
          <w:tcPr>
            <w:tcW w:w="1710" w:type="dxa"/>
            <w:shd w:val="clear" w:color="auto" w:fill="C6D9F1"/>
            <w:vAlign w:val="center"/>
          </w:tcPr>
          <w:p w14:paraId="5A1C7BBD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Effect of change in design or conditions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C3EE76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More energetic or toxic, increase potential for release, hazards of scale up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9FCE74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1C00AB7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F67C866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F440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806552" w:rsidRPr="004E1BAF" w14:paraId="2111C8E5" w14:textId="77777777" w:rsidTr="00806552">
        <w:trPr>
          <w:trHeight w:val="1043"/>
        </w:trPr>
        <w:tc>
          <w:tcPr>
            <w:tcW w:w="1710" w:type="dxa"/>
            <w:shd w:val="clear" w:color="auto" w:fill="C6D9F1"/>
            <w:vAlign w:val="center"/>
          </w:tcPr>
          <w:p w14:paraId="62F049D5" w14:textId="77777777" w:rsidR="00806552" w:rsidRPr="000F4401" w:rsidRDefault="00806552" w:rsidP="00806552">
            <w:pPr>
              <w:spacing w:after="0" w:line="240" w:lineRule="auto"/>
              <w:ind w:left="-108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Possibility for additive or synergistic effect or unknown effects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74D5ED3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Lack of expertise or knowledge, newly synthesized materials, untested or unfamiliar equipment, materials or processes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3B9474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EBAEAC6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3CD9675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F440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806552" w:rsidRPr="004E1BAF" w14:paraId="1E32807F" w14:textId="77777777" w:rsidTr="00806552">
        <w:trPr>
          <w:trHeight w:val="818"/>
        </w:trPr>
        <w:tc>
          <w:tcPr>
            <w:tcW w:w="1710" w:type="dxa"/>
            <w:shd w:val="clear" w:color="auto" w:fill="C6D9F1"/>
            <w:vAlign w:val="center"/>
          </w:tcPr>
          <w:p w14:paraId="4254AA1F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lastRenderedPageBreak/>
              <w:t>Effluents and waste management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50F3231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Challenges to proper disposal, potential for exposure or contamination, hazardous releases to air or water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054DDA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D888C0C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/>
                <w:color w:val="FF0000"/>
                <w:sz w:val="16"/>
                <w:szCs w:val="16"/>
              </w:rPr>
            </w:pPr>
            <w:r w:rsidRPr="000F4401">
              <w:rPr>
                <w:rFonts w:ascii="Cambria" w:hAnsi="Cambria"/>
                <w:color w:val="FF0000"/>
                <w:sz w:val="16"/>
                <w:szCs w:val="16"/>
              </w:rPr>
              <w:t>Is gas used up in experiment or will some be released?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A7178C1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F440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806552" w:rsidRPr="004E1BAF" w14:paraId="6F367C47" w14:textId="77777777" w:rsidTr="00806552">
        <w:trPr>
          <w:trHeight w:val="737"/>
        </w:trPr>
        <w:tc>
          <w:tcPr>
            <w:tcW w:w="1710" w:type="dxa"/>
            <w:shd w:val="clear" w:color="auto" w:fill="C6D9F1"/>
            <w:vAlign w:val="center"/>
          </w:tcPr>
          <w:p w14:paraId="12784FB2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Availability of PPE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C96250D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Inadequate PPE or shielding for hazard, cost factors, worker compliance, lack of alternatives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181ED8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3640403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/>
                <w:color w:val="FF0000"/>
                <w:sz w:val="16"/>
                <w:szCs w:val="16"/>
              </w:rPr>
            </w:pPr>
            <w:r w:rsidRPr="000F4401">
              <w:rPr>
                <w:rFonts w:ascii="Cambria" w:hAnsi="Cambria"/>
                <w:color w:val="FF0000"/>
                <w:sz w:val="16"/>
                <w:szCs w:val="16"/>
              </w:rPr>
              <w:t xml:space="preserve">Eye protection, shielding, flame resistant lab coat, gloves. Wear </w:t>
            </w:r>
            <w:proofErr w:type="spellStart"/>
            <w:r w:rsidRPr="000F4401">
              <w:rPr>
                <w:rFonts w:ascii="Cambria" w:hAnsi="Cambria"/>
                <w:color w:val="FF0000"/>
                <w:sz w:val="16"/>
                <w:szCs w:val="16"/>
              </w:rPr>
              <w:t>nonsynthetic</w:t>
            </w:r>
            <w:proofErr w:type="spellEnd"/>
            <w:r w:rsidRPr="000F4401">
              <w:rPr>
                <w:rFonts w:ascii="Cambria" w:hAnsi="Cambria"/>
                <w:color w:val="FF0000"/>
                <w:sz w:val="16"/>
                <w:szCs w:val="16"/>
              </w:rPr>
              <w:t xml:space="preserve"> clothing.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EFA9BC3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F440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806552" w:rsidRPr="004E1BAF" w14:paraId="5575279C" w14:textId="77777777" w:rsidTr="00806552">
        <w:trPr>
          <w:trHeight w:val="719"/>
        </w:trPr>
        <w:tc>
          <w:tcPr>
            <w:tcW w:w="1710" w:type="dxa"/>
            <w:shd w:val="clear" w:color="auto" w:fill="C6D9F1"/>
            <w:vAlign w:val="center"/>
          </w:tcPr>
          <w:p w14:paraId="184A93FA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Emergency Response resources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01B8BC1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Inadequate or unavailable, lack of knowledge about emergency procedures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CD2BDA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91821A3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/>
                <w:color w:val="FF0000"/>
                <w:sz w:val="16"/>
                <w:szCs w:val="16"/>
              </w:rPr>
            </w:pPr>
            <w:r w:rsidRPr="000F4401">
              <w:rPr>
                <w:rFonts w:ascii="Cambria" w:hAnsi="Cambria"/>
                <w:color w:val="FF0000"/>
                <w:sz w:val="16"/>
                <w:szCs w:val="16"/>
              </w:rPr>
              <w:t>Identify location of fire extinguishers. Review how to request emergency assistance.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DCF5177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F440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806552" w:rsidRPr="004E1BAF" w14:paraId="22E9DDAA" w14:textId="77777777" w:rsidTr="00806552">
        <w:trPr>
          <w:trHeight w:val="1214"/>
        </w:trPr>
        <w:tc>
          <w:tcPr>
            <w:tcW w:w="1710" w:type="dxa"/>
            <w:shd w:val="clear" w:color="auto" w:fill="C6D9F1"/>
            <w:vAlign w:val="center"/>
          </w:tcPr>
          <w:p w14:paraId="0A7D5C4C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Potential failure points or routine activities with high risk of harm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64A942C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Weighing toxic materials on lab bench, opening an autoclave, hard to close caps, lack of "kill" switch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623172D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B3D0638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/>
                <w:color w:val="FF0000"/>
                <w:sz w:val="16"/>
                <w:szCs w:val="16"/>
              </w:rPr>
            </w:pPr>
            <w:r w:rsidRPr="000F4401">
              <w:rPr>
                <w:rFonts w:ascii="Cambria" w:hAnsi="Cambria"/>
                <w:color w:val="FF0000"/>
                <w:sz w:val="16"/>
                <w:szCs w:val="16"/>
              </w:rPr>
              <w:t>Automatic shut off in the event of a fire?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F246956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F4401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</w:tbl>
    <w:p w14:paraId="00E978EF" w14:textId="77777777" w:rsidR="00806552" w:rsidRDefault="00806552" w:rsidP="00806552">
      <w:pPr>
        <w:spacing w:after="0"/>
        <w:rPr>
          <w:rFonts w:ascii="Cambria" w:hAnsi="Cambria"/>
        </w:rPr>
      </w:pPr>
    </w:p>
    <w:p w14:paraId="7BDBCD5E" w14:textId="77777777" w:rsidR="00CB5454" w:rsidRDefault="00CB5454" w:rsidP="00806552"/>
    <w:p w14:paraId="3A628071" w14:textId="77777777" w:rsidR="00CB5454" w:rsidRDefault="00CB5454" w:rsidP="00806552"/>
    <w:p w14:paraId="6E763C4B" w14:textId="77777777" w:rsidR="00CB5454" w:rsidRDefault="00CB5454">
      <w:pPr>
        <w:spacing w:after="0" w:line="240" w:lineRule="auto"/>
      </w:pPr>
      <w:r>
        <w:br w:type="page"/>
      </w:r>
    </w:p>
    <w:p w14:paraId="17D128D1" w14:textId="66FB898F" w:rsidR="00806552" w:rsidRPr="00CB5454" w:rsidRDefault="00CB5454" w:rsidP="00CB5454">
      <w:pPr>
        <w:ind w:left="144"/>
        <w:rPr>
          <w:b/>
        </w:rPr>
      </w:pPr>
      <w:bookmarkStart w:id="2" w:name="_Toc403595395"/>
      <w:r w:rsidRPr="00CB5454">
        <w:rPr>
          <w:rFonts w:ascii="Cambria" w:hAnsi="Cambria"/>
          <w:b/>
          <w:sz w:val="24"/>
          <w:szCs w:val="24"/>
        </w:rPr>
        <w:lastRenderedPageBreak/>
        <w:t>(Columns 5–9)</w:t>
      </w:r>
      <w:bookmarkEnd w:id="2"/>
    </w:p>
    <w:tbl>
      <w:tblPr>
        <w:tblW w:w="101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tandard Operating Procedures - Matrix for new process involving carbon monoxide"/>
        <w:tblDescription w:val="Table G-1, columns 5-9"/>
      </w:tblPr>
      <w:tblGrid>
        <w:gridCol w:w="1260"/>
        <w:gridCol w:w="1710"/>
        <w:gridCol w:w="1800"/>
        <w:gridCol w:w="2070"/>
        <w:gridCol w:w="1620"/>
        <w:gridCol w:w="1710"/>
      </w:tblGrid>
      <w:tr w:rsidR="00806552" w:rsidRPr="004E1BAF" w14:paraId="7246AFA1" w14:textId="77777777" w:rsidTr="00806552">
        <w:trPr>
          <w:trHeight w:val="1241"/>
          <w:tblHeader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43577F27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b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b/>
                <w:sz w:val="16"/>
                <w:szCs w:val="20"/>
              </w:rPr>
              <w:t>Evaluate Each Step or Task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0EB5D16A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0F4401">
              <w:rPr>
                <w:rFonts w:ascii="Cambria" w:hAnsi="Cambria" w:cs="Arial"/>
                <w:b/>
                <w:sz w:val="16"/>
                <w:szCs w:val="16"/>
              </w:rPr>
              <w:t xml:space="preserve">Strategies to Eliminate, Control or Mitigate Hazard </w:t>
            </w:r>
          </w:p>
          <w:p w14:paraId="702F859A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6A256AB1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0F4401">
              <w:rPr>
                <w:rFonts w:ascii="Cambria" w:hAnsi="Cambria" w:cs="Arial"/>
                <w:b/>
                <w:sz w:val="16"/>
                <w:szCs w:val="16"/>
              </w:rPr>
              <w:t xml:space="preserve">Suggested strategies to address identified hazards </w:t>
            </w:r>
          </w:p>
          <w:p w14:paraId="387AEAFB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0F4401">
              <w:rPr>
                <w:rFonts w:ascii="Cambria" w:hAnsi="Cambria" w:cs="Arial"/>
                <w:b/>
                <w:sz w:val="16"/>
                <w:szCs w:val="16"/>
              </w:rPr>
              <w:t>(Plan A)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5E95817D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0F4401">
              <w:rPr>
                <w:rFonts w:ascii="Cambria" w:hAnsi="Cambria" w:cs="Arial"/>
                <w:b/>
                <w:sz w:val="16"/>
                <w:szCs w:val="16"/>
              </w:rPr>
              <w:t>Ask Again - What Could Go Wrong? Consider atypical or less likely events - Identify possible Failure points or known failures of prior strategies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28957E3D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0F4401">
              <w:rPr>
                <w:rFonts w:ascii="Cambria" w:hAnsi="Cambria" w:cs="Arial"/>
                <w:b/>
                <w:sz w:val="16"/>
                <w:szCs w:val="16"/>
              </w:rPr>
              <w:t>Plan B to Eliminate, Control or Mitigate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0A18BE3C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0F4401">
              <w:rPr>
                <w:rFonts w:ascii="Cambria" w:hAnsi="Cambria" w:cs="Arial"/>
                <w:b/>
                <w:sz w:val="16"/>
                <w:szCs w:val="16"/>
              </w:rPr>
              <w:t>Will Standard Precautions be Adequate? (Develop written criteria)</w:t>
            </w:r>
          </w:p>
        </w:tc>
      </w:tr>
      <w:tr w:rsidR="00806552" w:rsidRPr="004E1BAF" w14:paraId="7D0CE9FD" w14:textId="77777777" w:rsidTr="00806552">
        <w:trPr>
          <w:trHeight w:val="845"/>
        </w:trPr>
        <w:tc>
          <w:tcPr>
            <w:tcW w:w="1260" w:type="dxa"/>
            <w:shd w:val="clear" w:color="auto" w:fill="C6D9F1"/>
            <w:vAlign w:val="center"/>
          </w:tcPr>
          <w:p w14:paraId="1CCC974C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Regulatory Concerns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FD4EFFC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CHP, OSHA carcinogen regulations, controlled substances DEA regulations, permits for select agents and/or radioactive materials, etc.</w:t>
            </w:r>
            <w:r>
              <w:rPr>
                <w:rFonts w:ascii="Cambria" w:hAnsi="Cambria" w:cs="Arial"/>
                <w:sz w:val="16"/>
                <w:szCs w:val="16"/>
              </w:rPr>
              <w:t xml:space="preserve">     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 xml:space="preserve">Review compliance plan with 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>EHS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 xml:space="preserve"> or other local and national experts.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Consult technical experts from gas vendor for guidance.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Make a checklist using applicable regulations and insert into lab safety manual or CHP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078B49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16"/>
              </w:rPr>
            </w:pP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Verify within code limits using checklist and other identified compliance strategies.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For CO, a gas cabinet or other exhaust cabinet is required for storage.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Determine if small volume cylinders can be used and store them in the fume hood.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7774935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16"/>
              </w:rPr>
            </w:pP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Think about why these codes exist.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What purpose are the regulations requiring certain connections, tubing materials, shut off valves and switches, safe egress, fire monitoring and suppression, toxic gas alarms?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640605B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16"/>
              </w:rPr>
            </w:pP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Identify compliance weakness (e.g.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>,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 xml:space="preserve"> old building without sprinklers).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Identify secondary measures that could address these deficiencies: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 xml:space="preserve">install sprinklers, install extra alarm systems; have emergency backup support ready; isolate experiment to safest part of lab, move experiment to </w:t>
            </w:r>
            <w:proofErr w:type="spellStart"/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sprinklered</w:t>
            </w:r>
            <w:proofErr w:type="spellEnd"/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 xml:space="preserve"> lab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EBD3E54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16"/>
              </w:rPr>
            </w:pP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Standard precautions are probably not adequate without considering the regulations addressed in the review and checklist.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Once the checklist is completed and plans are determined to be adequate, this part of the SOP could be standard.</w:t>
            </w:r>
          </w:p>
        </w:tc>
      </w:tr>
      <w:tr w:rsidR="00806552" w:rsidRPr="004E1BAF" w14:paraId="4A731DD5" w14:textId="77777777" w:rsidTr="00806552">
        <w:trPr>
          <w:trHeight w:val="1259"/>
        </w:trPr>
        <w:tc>
          <w:tcPr>
            <w:tcW w:w="1260" w:type="dxa"/>
            <w:shd w:val="clear" w:color="auto" w:fill="C6D9F1"/>
            <w:vAlign w:val="center"/>
          </w:tcPr>
          <w:p w14:paraId="73798811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Human Factors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865E971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Reiterative training, enforce lab rules, supervision, ascertaining worker knowledge, ensure worker is well-informed, practice small, SOPs, buddy system.</w:t>
            </w:r>
            <w:r>
              <w:rPr>
                <w:rFonts w:ascii="Cambria" w:hAnsi="Cambria" w:cs="Arial"/>
                <w:sz w:val="16"/>
                <w:szCs w:val="16"/>
              </w:rPr>
              <w:t xml:space="preserve">    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Ensure student has taken all relevant training including emergency response.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Student should be directly supervised until he/she has shown proficiency in all aspects of hazard control and emergency response.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Student should write SOP and review with senior lab staff.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8B951DF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16"/>
              </w:rPr>
            </w:pP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Student should be adequately trained and supervised.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A dry run or scaled down experiment should be performed first.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88685DF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16"/>
              </w:rPr>
            </w:pP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Most likely human failure would involve communication difficulties.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These must be addressed in advance as well as monitored during a hazardous experiment.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BCA75C7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16"/>
              </w:rPr>
            </w:pP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 xml:space="preserve">Supervisor and student should discuss scenarios for potential gas </w:t>
            </w:r>
            <w:proofErr w:type="gramStart"/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leak,</w:t>
            </w:r>
            <w:proofErr w:type="gramEnd"/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 xml:space="preserve"> fire, explosion, and supervisor should be satisfied that student can address these.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Alternatively, student may assist more experienced lab worker.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1155539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16"/>
              </w:rPr>
            </w:pP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SOP may be developed if experiment becomes routine, as long as clear indications are present regarding when to consult supervisors or review safety plan.</w:t>
            </w:r>
          </w:p>
        </w:tc>
      </w:tr>
      <w:tr w:rsidR="00806552" w:rsidRPr="004E1BAF" w14:paraId="536714A5" w14:textId="77777777" w:rsidTr="00806552">
        <w:trPr>
          <w:trHeight w:val="1250"/>
        </w:trPr>
        <w:tc>
          <w:tcPr>
            <w:tcW w:w="1260" w:type="dxa"/>
            <w:shd w:val="clear" w:color="auto" w:fill="C6D9F1"/>
            <w:vAlign w:val="center"/>
          </w:tcPr>
          <w:p w14:paraId="3D4C6213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Facility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65B49BF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 xml:space="preserve">Ensure proper environment and conditions - </w:t>
            </w:r>
            <w:r w:rsidRPr="000F4401">
              <w:rPr>
                <w:rFonts w:ascii="Cambria" w:hAnsi="Cambria" w:cs="Arial"/>
                <w:b/>
                <w:bCs/>
                <w:sz w:val="16"/>
                <w:szCs w:val="16"/>
              </w:rPr>
              <w:t>can use checklist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728EBDE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16"/>
              </w:rPr>
            </w:pP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Checklist to verify proper configuration prior to start work each day.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7ED886E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E97A333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A5CC10D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</w:tr>
      <w:tr w:rsidR="00806552" w:rsidRPr="004E1BAF" w14:paraId="63AD0CDF" w14:textId="77777777" w:rsidTr="00806552">
        <w:trPr>
          <w:trHeight w:val="1430"/>
        </w:trPr>
        <w:tc>
          <w:tcPr>
            <w:tcW w:w="1260" w:type="dxa"/>
            <w:shd w:val="clear" w:color="auto" w:fill="C6D9F1"/>
            <w:vAlign w:val="center"/>
          </w:tcPr>
          <w:p w14:paraId="348FE09F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Materials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EA91612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Eliminate, substitute or reduce amt.? Detection &amp; warning methods? Use of administrative, engineering or PPE controls (expand).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Completely enclose process in fume hood, if possible; use gas monitoring/alarm</w:t>
            </w:r>
            <w:r w:rsidRPr="000F440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systems, normally -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lastRenderedPageBreak/>
              <w:t>closed valves which shut off with power failure, create lab SOP requiring checking of all systems before an experiment.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May only be used during work hours or if monitored.</w:t>
            </w:r>
            <w:r>
              <w:rPr>
                <w:rFonts w:ascii="Cambria" w:hAnsi="Cambria" w:cs="Arial"/>
                <w:color w:val="FF0000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If leak is detected, turn off gas sources and evacuate lab.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C07002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16"/>
              </w:rPr>
            </w:pP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lastRenderedPageBreak/>
              <w:t>Use mixture with inert gas if possible. Keep quantity to a practical minimum.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C95AA6E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4B83686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A107031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</w:tr>
      <w:tr w:rsidR="00806552" w:rsidRPr="004E1BAF" w14:paraId="0BF76568" w14:textId="77777777" w:rsidTr="00806552">
        <w:trPr>
          <w:trHeight w:val="980"/>
        </w:trPr>
        <w:tc>
          <w:tcPr>
            <w:tcW w:w="1260" w:type="dxa"/>
            <w:shd w:val="clear" w:color="auto" w:fill="C6D9F1"/>
            <w:vAlign w:val="center"/>
          </w:tcPr>
          <w:p w14:paraId="00D3B7A2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lastRenderedPageBreak/>
              <w:t xml:space="preserve">Equipment and </w:t>
            </w:r>
            <w:proofErr w:type="spellStart"/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Labware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14:paraId="5538758D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Integrity check, right tool for job, maintenance, correct use, troubleshoot, normal and emergency operations delineated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20288CC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16"/>
              </w:rPr>
            </w:pP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Conduct integrity check each day prior to work.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646F8F6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BC9E323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B1B9387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</w:tr>
      <w:tr w:rsidR="00806552" w:rsidRPr="004E1BAF" w14:paraId="61197016" w14:textId="77777777" w:rsidTr="00806552">
        <w:trPr>
          <w:trHeight w:val="1070"/>
        </w:trPr>
        <w:tc>
          <w:tcPr>
            <w:tcW w:w="1260" w:type="dxa"/>
            <w:shd w:val="clear" w:color="auto" w:fill="C6D9F1"/>
            <w:vAlign w:val="center"/>
          </w:tcPr>
          <w:p w14:paraId="2CFA0593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Process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EB49420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Change process, small tests, test runs without hazard present, acquire expert assistance, secondary controls, emergency response actions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0A33A2F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16"/>
              </w:rPr>
            </w:pP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May wish to conduct dry run with nitrogen or compressed air. Identify potential ignition sources and check for these each day.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0FBFD82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E39354C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3BE92FB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</w:tr>
      <w:tr w:rsidR="00806552" w:rsidRPr="004E1BAF" w14:paraId="65020B47" w14:textId="77777777" w:rsidTr="00806552">
        <w:trPr>
          <w:trHeight w:val="719"/>
        </w:trPr>
        <w:tc>
          <w:tcPr>
            <w:tcW w:w="1260" w:type="dxa"/>
            <w:shd w:val="clear" w:color="auto" w:fill="C6D9F1"/>
            <w:vAlign w:val="center"/>
          </w:tcPr>
          <w:p w14:paraId="27EDF215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Effect of change in design or conditions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6E6CCD4B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Assume and prepare for increased risks, identify these in order of potential, require review by experts, require continuous monitoring, install safeguards, warning systems, shutdown mechanisms and remote monitoring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0CA2E4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16"/>
              </w:rPr>
            </w:pP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Conduct thorough review when changing out cylinders.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2D1ED35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A85BEB4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7F1DEEE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</w:tr>
      <w:tr w:rsidR="00806552" w:rsidRPr="004E1BAF" w14:paraId="6651C28E" w14:textId="77777777" w:rsidTr="00806552">
        <w:trPr>
          <w:trHeight w:val="1043"/>
        </w:trPr>
        <w:tc>
          <w:tcPr>
            <w:tcW w:w="1260" w:type="dxa"/>
            <w:shd w:val="clear" w:color="auto" w:fill="C6D9F1"/>
            <w:vAlign w:val="center"/>
          </w:tcPr>
          <w:p w14:paraId="1A779330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Possibility for additive or synergistic effect or unknown effects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78565D98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4518329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62187CB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F637706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5D9F9D3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</w:tr>
      <w:tr w:rsidR="00806552" w:rsidRPr="004E1BAF" w14:paraId="7528CE01" w14:textId="77777777" w:rsidTr="00806552">
        <w:trPr>
          <w:trHeight w:val="818"/>
        </w:trPr>
        <w:tc>
          <w:tcPr>
            <w:tcW w:w="1260" w:type="dxa"/>
            <w:shd w:val="clear" w:color="auto" w:fill="C6D9F1"/>
            <w:vAlign w:val="center"/>
          </w:tcPr>
          <w:p w14:paraId="69A1B68C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Effluents and waste management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BE50773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Must be resolved before experiment, proper disposal containment and methods for experiment waste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C5BCAE1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882D636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E607923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613EAEF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</w:tr>
      <w:tr w:rsidR="00806552" w:rsidRPr="004E1BAF" w14:paraId="5534A70A" w14:textId="77777777" w:rsidTr="00806552">
        <w:trPr>
          <w:trHeight w:val="899"/>
        </w:trPr>
        <w:tc>
          <w:tcPr>
            <w:tcW w:w="1260" w:type="dxa"/>
            <w:shd w:val="clear" w:color="auto" w:fill="C6D9F1"/>
            <w:vAlign w:val="center"/>
          </w:tcPr>
          <w:p w14:paraId="3973EDE1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Availability of PPE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F79B1C6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Design experiment to reduce reliance on PPE, combine control methods, prohibit use of inadequate PPE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AA5B505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21E7494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56B43F6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F1AE0F3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</w:tr>
      <w:tr w:rsidR="00806552" w:rsidRPr="004E1BAF" w14:paraId="65968E12" w14:textId="77777777" w:rsidTr="00806552">
        <w:trPr>
          <w:trHeight w:val="719"/>
        </w:trPr>
        <w:tc>
          <w:tcPr>
            <w:tcW w:w="1260" w:type="dxa"/>
            <w:shd w:val="clear" w:color="auto" w:fill="C6D9F1"/>
            <w:vAlign w:val="center"/>
          </w:tcPr>
          <w:p w14:paraId="5FF8FF86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t>Emergency Response resources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E6FB029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Buddy system, alarms,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0F4401">
              <w:rPr>
                <w:rFonts w:ascii="Cambria" w:hAnsi="Cambria" w:cs="Arial"/>
                <w:sz w:val="16"/>
                <w:szCs w:val="16"/>
              </w:rPr>
              <w:t xml:space="preserve">ensure availability of equipment &amp; personnel, emergency drills &amp; training, spill kits, AED. </w:t>
            </w: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All lab staff must have fire extinguisher training.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DC61818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16"/>
              </w:rPr>
            </w:pPr>
            <w:r w:rsidRPr="000F4401">
              <w:rPr>
                <w:rFonts w:ascii="Cambria" w:hAnsi="Cambria" w:cs="Arial"/>
                <w:color w:val="FF0000"/>
                <w:sz w:val="16"/>
                <w:szCs w:val="16"/>
              </w:rPr>
              <w:t>Conduct a drill involving one or more emergency scenarios prior to conducting experiment.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3972CA8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998FE01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D551F18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</w:tr>
      <w:tr w:rsidR="00806552" w:rsidRPr="004E1BAF" w14:paraId="5A921888" w14:textId="77777777" w:rsidTr="00806552">
        <w:trPr>
          <w:trHeight w:val="1043"/>
        </w:trPr>
        <w:tc>
          <w:tcPr>
            <w:tcW w:w="1260" w:type="dxa"/>
            <w:shd w:val="clear" w:color="auto" w:fill="C6D9F1"/>
            <w:vAlign w:val="center"/>
          </w:tcPr>
          <w:p w14:paraId="5BD524C6" w14:textId="77777777" w:rsidR="00806552" w:rsidRPr="000F4401" w:rsidRDefault="00806552" w:rsidP="004A44A2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20"/>
              </w:rPr>
            </w:pPr>
            <w:r w:rsidRPr="000F4401">
              <w:rPr>
                <w:rFonts w:ascii="Cambria" w:eastAsia="Times New Roman" w:hAnsi="Cambria" w:cs="Arial"/>
                <w:sz w:val="16"/>
                <w:szCs w:val="20"/>
              </w:rPr>
              <w:lastRenderedPageBreak/>
              <w:t>Potential failure points or routine activities with high risk of harm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AF0B0C6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Review and change work practices, extensive training, instructions to address unexpected - failures, breakage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BA648A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FAFB5FB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2E552B2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2A261E2" w14:textId="77777777" w:rsidR="00806552" w:rsidRPr="000F4401" w:rsidRDefault="00806552" w:rsidP="004A44A2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0F4401"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</w:tr>
    </w:tbl>
    <w:p w14:paraId="3CF2406C" w14:textId="77777777" w:rsidR="00A40951" w:rsidRDefault="00A40951" w:rsidP="004D3188">
      <w:pPr>
        <w:tabs>
          <w:tab w:val="left" w:pos="3840"/>
        </w:tabs>
      </w:pPr>
    </w:p>
    <w:p w14:paraId="0E582619" w14:textId="77777777" w:rsidR="00C719E5" w:rsidRDefault="00C719E5" w:rsidP="004D3188">
      <w:pPr>
        <w:tabs>
          <w:tab w:val="left" w:pos="3840"/>
        </w:tabs>
      </w:pPr>
    </w:p>
    <w:p w14:paraId="1F258239" w14:textId="77777777" w:rsidR="00C719E5" w:rsidRPr="00C719E5" w:rsidRDefault="00C719E5" w:rsidP="00C719E5">
      <w:pPr>
        <w:spacing w:after="200"/>
        <w:rPr>
          <w:rFonts w:ascii="Cambria" w:hAnsi="Cambria"/>
          <w:color w:val="595959"/>
          <w:sz w:val="20"/>
        </w:rPr>
      </w:pPr>
      <w:r w:rsidRPr="00C719E5">
        <w:rPr>
          <w:rFonts w:ascii="Cambria" w:hAnsi="Cambria"/>
          <w:color w:val="595959"/>
          <w:sz w:val="20"/>
        </w:rPr>
        <w:t>This file is excerpted from “Identifying and Evaluating Hazards in Research Laboratories: Guidelines developed by the Hazard Identification and Evaluation Task Force of the American Chemical Society’s Committee on Chemical Safety”.</w:t>
      </w:r>
    </w:p>
    <w:p w14:paraId="7D019494" w14:textId="77777777" w:rsidR="00C719E5" w:rsidRPr="00C719E5" w:rsidRDefault="00C719E5" w:rsidP="00C719E5">
      <w:pPr>
        <w:spacing w:after="200"/>
        <w:rPr>
          <w:rFonts w:ascii="Cambria" w:hAnsi="Cambria"/>
          <w:color w:val="595959"/>
          <w:sz w:val="20"/>
        </w:rPr>
      </w:pPr>
      <w:r w:rsidRPr="00C719E5">
        <w:rPr>
          <w:rFonts w:ascii="Cambria" w:hAnsi="Cambria"/>
          <w:color w:val="595959"/>
          <w:sz w:val="20"/>
        </w:rPr>
        <w:t>© Copyright 2015 American Chemical Society</w:t>
      </w:r>
    </w:p>
    <w:p w14:paraId="10DD3B1A" w14:textId="77777777" w:rsidR="00683252" w:rsidRPr="00561B0D" w:rsidRDefault="00683252" w:rsidP="004D3188">
      <w:pPr>
        <w:tabs>
          <w:tab w:val="left" w:pos="3840"/>
        </w:tabs>
      </w:pPr>
    </w:p>
    <w:sectPr w:rsidR="00683252" w:rsidRPr="00561B0D" w:rsidSect="00C719E5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ED89E" w14:textId="77777777" w:rsidR="006A16DB" w:rsidRDefault="006A16DB" w:rsidP="00136352">
      <w:pPr>
        <w:spacing w:after="0" w:line="240" w:lineRule="auto"/>
      </w:pPr>
      <w:r>
        <w:separator/>
      </w:r>
    </w:p>
  </w:endnote>
  <w:endnote w:type="continuationSeparator" w:id="0">
    <w:p w14:paraId="40AF7BC7" w14:textId="77777777" w:rsidR="006A16DB" w:rsidRDefault="006A16DB" w:rsidP="0013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16" w:type="pct"/>
      <w:tblInd w:w="-2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1178"/>
      <w:gridCol w:w="549"/>
    </w:tblGrid>
    <w:tr w:rsidR="00BB232F" w:rsidRPr="00C7200C" w14:paraId="03245108" w14:textId="77777777" w:rsidTr="00F41A1F">
      <w:trPr>
        <w:trHeight w:val="212"/>
      </w:trPr>
      <w:tc>
        <w:tcPr>
          <w:tcW w:w="4766" w:type="pct"/>
          <w:tcBorders>
            <w:right w:val="single" w:sz="2" w:space="0" w:color="D9D9D9" w:themeColor="background1" w:themeShade="D9"/>
          </w:tcBorders>
        </w:tcPr>
        <w:p w14:paraId="14E0262B" w14:textId="0A650418" w:rsidR="00BB232F" w:rsidRPr="00412958" w:rsidRDefault="00CB5454" w:rsidP="00C719E5">
          <w:pPr>
            <w:spacing w:line="240" w:lineRule="auto"/>
            <w:rPr>
              <w:b/>
              <w:color w:val="4F81BD" w:themeColor="accent1"/>
              <w:sz w:val="24"/>
              <w:szCs w:val="24"/>
            </w:rPr>
          </w:pPr>
          <w:r>
            <w:rPr>
              <w:rFonts w:asciiTheme="minorHAnsi" w:hAnsiTheme="minorHAnsi"/>
              <w:color w:val="595959" w:themeColor="text1" w:themeTint="A6"/>
              <w:sz w:val="20"/>
            </w:rPr>
            <w:t xml:space="preserve">        </w:t>
          </w:r>
          <w:r w:rsidR="00806552">
            <w:rPr>
              <w:rFonts w:asciiTheme="minorHAnsi" w:hAnsiTheme="minorHAnsi"/>
              <w:color w:val="595959" w:themeColor="text1" w:themeTint="A6"/>
              <w:sz w:val="20"/>
            </w:rPr>
            <w:t>Table G</w:t>
          </w:r>
          <w:r w:rsidR="00C719E5" w:rsidRPr="00560FF7">
            <w:rPr>
              <w:rFonts w:asciiTheme="minorHAnsi" w:hAnsiTheme="minorHAnsi"/>
              <w:color w:val="595959" w:themeColor="text1" w:themeTint="A6"/>
              <w:sz w:val="20"/>
            </w:rPr>
            <w:t xml:space="preserve">-1: </w:t>
          </w:r>
          <w:r w:rsidR="00806552" w:rsidRPr="00806552">
            <w:rPr>
              <w:rFonts w:asciiTheme="minorHAnsi" w:hAnsiTheme="minorHAnsi"/>
              <w:color w:val="595959" w:themeColor="text1" w:themeTint="A6"/>
              <w:sz w:val="20"/>
            </w:rPr>
            <w:t>S</w:t>
          </w:r>
          <w:r w:rsidR="00BE6734">
            <w:rPr>
              <w:rFonts w:asciiTheme="minorHAnsi" w:hAnsiTheme="minorHAnsi"/>
              <w:color w:val="595959" w:themeColor="text1" w:themeTint="A6"/>
              <w:sz w:val="20"/>
            </w:rPr>
            <w:t xml:space="preserve">tandard </w:t>
          </w:r>
          <w:r w:rsidR="00806552" w:rsidRPr="00806552">
            <w:rPr>
              <w:rFonts w:asciiTheme="minorHAnsi" w:hAnsiTheme="minorHAnsi"/>
              <w:color w:val="595959" w:themeColor="text1" w:themeTint="A6"/>
              <w:sz w:val="20"/>
            </w:rPr>
            <w:t>O</w:t>
          </w:r>
          <w:r w:rsidR="00BE6734">
            <w:rPr>
              <w:rFonts w:asciiTheme="minorHAnsi" w:hAnsiTheme="minorHAnsi"/>
              <w:color w:val="595959" w:themeColor="text1" w:themeTint="A6"/>
              <w:sz w:val="20"/>
            </w:rPr>
            <w:t xml:space="preserve">perating </w:t>
          </w:r>
          <w:r w:rsidR="00806552" w:rsidRPr="00806552">
            <w:rPr>
              <w:rFonts w:asciiTheme="minorHAnsi" w:hAnsiTheme="minorHAnsi"/>
              <w:color w:val="595959" w:themeColor="text1" w:themeTint="A6"/>
              <w:sz w:val="20"/>
            </w:rPr>
            <w:t>P</w:t>
          </w:r>
          <w:r w:rsidR="00BE6734">
            <w:rPr>
              <w:rFonts w:asciiTheme="minorHAnsi" w:hAnsiTheme="minorHAnsi"/>
              <w:color w:val="595959" w:themeColor="text1" w:themeTint="A6"/>
              <w:sz w:val="20"/>
            </w:rPr>
            <w:t>rocedures</w:t>
          </w:r>
          <w:r w:rsidR="00806552" w:rsidRPr="00806552">
            <w:rPr>
              <w:rFonts w:asciiTheme="minorHAnsi" w:hAnsiTheme="minorHAnsi"/>
              <w:color w:val="595959" w:themeColor="text1" w:themeTint="A6"/>
              <w:sz w:val="20"/>
            </w:rPr>
            <w:t xml:space="preserve"> - Matrix for new process involving carbon monoxide</w:t>
          </w:r>
        </w:p>
      </w:tc>
      <w:tc>
        <w:tcPr>
          <w:tcW w:w="234" w:type="pct"/>
          <w:tcBorders>
            <w:left w:val="single" w:sz="2" w:space="0" w:color="D9D9D9" w:themeColor="background1" w:themeShade="D9"/>
          </w:tcBorders>
        </w:tcPr>
        <w:p w14:paraId="7624F6FD" w14:textId="77777777" w:rsidR="00BB232F" w:rsidRPr="00C7200C" w:rsidRDefault="00BB232F" w:rsidP="00F41A1F">
          <w:pPr>
            <w:pStyle w:val="Header"/>
            <w:rPr>
              <w:rFonts w:eastAsiaTheme="majorEastAsia" w:cstheme="majorBidi"/>
              <w:b/>
              <w:color w:val="4F81BD" w:themeColor="accent1"/>
              <w:sz w:val="24"/>
              <w:szCs w:val="24"/>
            </w:rPr>
          </w:pPr>
          <w:r w:rsidRPr="00412958">
            <w:rPr>
              <w:b/>
              <w:color w:val="4F81BD" w:themeColor="accent1"/>
              <w:sz w:val="24"/>
              <w:szCs w:val="24"/>
            </w:rPr>
            <w:fldChar w:fldCharType="begin"/>
          </w:r>
          <w:r w:rsidRPr="00412958">
            <w:rPr>
              <w:b/>
              <w:color w:val="4F81BD" w:themeColor="accent1"/>
              <w:sz w:val="24"/>
              <w:szCs w:val="24"/>
            </w:rPr>
            <w:instrText xml:space="preserve"> PAGE   \* MERGEFORMAT </w:instrText>
          </w:r>
          <w:r w:rsidRPr="00412958">
            <w:rPr>
              <w:b/>
              <w:color w:val="4F81BD" w:themeColor="accent1"/>
              <w:sz w:val="24"/>
              <w:szCs w:val="24"/>
            </w:rPr>
            <w:fldChar w:fldCharType="separate"/>
          </w:r>
          <w:r w:rsidR="00F7084A">
            <w:rPr>
              <w:b/>
              <w:noProof/>
              <w:color w:val="4F81BD" w:themeColor="accent1"/>
              <w:sz w:val="24"/>
              <w:szCs w:val="24"/>
            </w:rPr>
            <w:t>2</w:t>
          </w:r>
          <w:r w:rsidRPr="00412958">
            <w:rPr>
              <w:b/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1B6F38BB" w14:textId="77777777" w:rsidR="00BB232F" w:rsidRPr="008D1BE7" w:rsidRDefault="00BB232F" w:rsidP="00E64A0F">
    <w:pPr>
      <w:spacing w:before="120"/>
      <w:rPr>
        <w:rFonts w:asciiTheme="minorHAnsi" w:hAnsiTheme="minorHAnsi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38916" w14:textId="77777777" w:rsidR="006A16DB" w:rsidRDefault="006A16DB" w:rsidP="00136352">
      <w:pPr>
        <w:spacing w:after="0" w:line="240" w:lineRule="auto"/>
      </w:pPr>
      <w:r>
        <w:separator/>
      </w:r>
    </w:p>
  </w:footnote>
  <w:footnote w:type="continuationSeparator" w:id="0">
    <w:p w14:paraId="2D252FF0" w14:textId="77777777" w:rsidR="006A16DB" w:rsidRDefault="006A16DB" w:rsidP="0013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0359F"/>
    <w:multiLevelType w:val="hybridMultilevel"/>
    <w:tmpl w:val="80B0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EE"/>
    <w:rsid w:val="00076B07"/>
    <w:rsid w:val="000B6F15"/>
    <w:rsid w:val="000E17EE"/>
    <w:rsid w:val="000F1E04"/>
    <w:rsid w:val="000F217F"/>
    <w:rsid w:val="00101D47"/>
    <w:rsid w:val="00114661"/>
    <w:rsid w:val="00136352"/>
    <w:rsid w:val="0015147C"/>
    <w:rsid w:val="001913EB"/>
    <w:rsid w:val="001B2B82"/>
    <w:rsid w:val="001E720E"/>
    <w:rsid w:val="00206DAF"/>
    <w:rsid w:val="0022151C"/>
    <w:rsid w:val="0022568A"/>
    <w:rsid w:val="002812D3"/>
    <w:rsid w:val="0029795B"/>
    <w:rsid w:val="002B4105"/>
    <w:rsid w:val="002B7F96"/>
    <w:rsid w:val="00335353"/>
    <w:rsid w:val="00344B64"/>
    <w:rsid w:val="003C0608"/>
    <w:rsid w:val="003D123E"/>
    <w:rsid w:val="003F7D94"/>
    <w:rsid w:val="00437ABA"/>
    <w:rsid w:val="00451F62"/>
    <w:rsid w:val="00464C18"/>
    <w:rsid w:val="004A3202"/>
    <w:rsid w:val="004A5DD7"/>
    <w:rsid w:val="004B0E57"/>
    <w:rsid w:val="004D3188"/>
    <w:rsid w:val="00535E3E"/>
    <w:rsid w:val="00535FDC"/>
    <w:rsid w:val="00561B0D"/>
    <w:rsid w:val="005656E4"/>
    <w:rsid w:val="0059113A"/>
    <w:rsid w:val="005C0EDE"/>
    <w:rsid w:val="00615EC2"/>
    <w:rsid w:val="00683252"/>
    <w:rsid w:val="0068615F"/>
    <w:rsid w:val="006A16DB"/>
    <w:rsid w:val="006C00BA"/>
    <w:rsid w:val="006E2315"/>
    <w:rsid w:val="007337BD"/>
    <w:rsid w:val="00756881"/>
    <w:rsid w:val="00793EA7"/>
    <w:rsid w:val="007B649A"/>
    <w:rsid w:val="007C54F7"/>
    <w:rsid w:val="007D705D"/>
    <w:rsid w:val="007F21FF"/>
    <w:rsid w:val="00806552"/>
    <w:rsid w:val="00813B0F"/>
    <w:rsid w:val="00814951"/>
    <w:rsid w:val="00816C0F"/>
    <w:rsid w:val="00867CC0"/>
    <w:rsid w:val="008D1BE7"/>
    <w:rsid w:val="008E3D88"/>
    <w:rsid w:val="008F23C1"/>
    <w:rsid w:val="00907609"/>
    <w:rsid w:val="009B46FC"/>
    <w:rsid w:val="009C466B"/>
    <w:rsid w:val="009E40CA"/>
    <w:rsid w:val="00A40951"/>
    <w:rsid w:val="00A41628"/>
    <w:rsid w:val="00A83873"/>
    <w:rsid w:val="00A946C1"/>
    <w:rsid w:val="00AD094B"/>
    <w:rsid w:val="00B31782"/>
    <w:rsid w:val="00BB232F"/>
    <w:rsid w:val="00BE6734"/>
    <w:rsid w:val="00C37492"/>
    <w:rsid w:val="00C719E5"/>
    <w:rsid w:val="00C81CE3"/>
    <w:rsid w:val="00CB5454"/>
    <w:rsid w:val="00CD4AF2"/>
    <w:rsid w:val="00D10A1E"/>
    <w:rsid w:val="00E1484D"/>
    <w:rsid w:val="00E2492E"/>
    <w:rsid w:val="00E64A0F"/>
    <w:rsid w:val="00E902E4"/>
    <w:rsid w:val="00ED5CE7"/>
    <w:rsid w:val="00F40CBD"/>
    <w:rsid w:val="00F7084A"/>
    <w:rsid w:val="00FC49F8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F1B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D3"/>
    <w:pPr>
      <w:spacing w:after="12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3188"/>
  </w:style>
  <w:style w:type="character" w:customStyle="1" w:styleId="Heading1Char">
    <w:name w:val="Heading 1 Char"/>
    <w:basedOn w:val="DefaultParagraphFont"/>
    <w:link w:val="Heading1"/>
    <w:uiPriority w:val="9"/>
    <w:rsid w:val="003C06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7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D3"/>
    <w:pPr>
      <w:spacing w:after="12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3188"/>
  </w:style>
  <w:style w:type="character" w:customStyle="1" w:styleId="Heading1Char">
    <w:name w:val="Heading 1 Char"/>
    <w:basedOn w:val="DefaultParagraphFont"/>
    <w:link w:val="Heading1"/>
    <w:uiPriority w:val="9"/>
    <w:rsid w:val="003C06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7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B5B3DB-0BE8-4099-BC5C-7EF37C2F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9-1: Sample Job Hazard Analysis Template</vt:lpstr>
    </vt:vector>
  </TitlesOfParts>
  <Company>ACS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 - Matrix for new process involving carbon monoxide</dc:title>
  <dc:creator>Hazard Identification and Evaluation Task Force of the American Chemical Society’s Committee on Chemical Safety</dc:creator>
  <cp:lastModifiedBy>Dorrie Hutchison</cp:lastModifiedBy>
  <cp:revision>6</cp:revision>
  <cp:lastPrinted>2016-05-09T15:40:00Z</cp:lastPrinted>
  <dcterms:created xsi:type="dcterms:W3CDTF">2016-06-24T00:19:00Z</dcterms:created>
  <dcterms:modified xsi:type="dcterms:W3CDTF">2016-06-24T15:06:00Z</dcterms:modified>
</cp:coreProperties>
</file>